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bookmarkStart w:id="1" w:name="_GoBack"/>
      <w:bookmarkEnd w:id="1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3B412E" w:rsidRPr="003B412E">
        <w:rPr>
          <w:rFonts w:cs="Arial"/>
          <w:b/>
          <w:iCs/>
          <w:sz w:val="24"/>
          <w:szCs w:val="24"/>
        </w:rPr>
        <w:t>R4-1804025</w:t>
      </w:r>
    </w:p>
    <w:p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E5978">
        <w:rPr>
          <w:sz w:val="22"/>
        </w:rPr>
        <w:t>A-MPR definition for band n41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B11FA" w:rsidRPr="00AB11FA">
        <w:rPr>
          <w:b/>
          <w:sz w:val="22"/>
        </w:rPr>
        <w:t>7.1.2.1.1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B11FA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EA3488" w:rsidRDefault="0088760A" w:rsidP="000B5E8E">
      <w:r>
        <w:t xml:space="preserve">This contribution </w:t>
      </w:r>
      <w:r w:rsidR="004979B3">
        <w:t>presents Nokia’s proposal for d</w:t>
      </w:r>
      <w:r w:rsidR="007E43CF">
        <w:t>efining the A-MPR for band n41 as well as frequency offset to avoid the A-MPR.</w:t>
      </w:r>
      <w:r w:rsidR="00A909A6">
        <w:t xml:space="preserve"> The proposal is based on simulation results reported in </w:t>
      </w:r>
      <w:r w:rsidR="00A909A6">
        <w:fldChar w:fldCharType="begin"/>
      </w:r>
      <w:r w:rsidR="00A909A6">
        <w:instrText xml:space="preserve"> REF _Ref509448318 \r \h </w:instrText>
      </w:r>
      <w:r w:rsidR="00A909A6">
        <w:fldChar w:fldCharType="separate"/>
      </w:r>
      <w:r w:rsidR="0002515F">
        <w:t>[1]</w:t>
      </w:r>
      <w:r w:rsidR="00A909A6">
        <w:fldChar w:fldCharType="end"/>
      </w:r>
      <w:r w:rsidR="00A909A6">
        <w:t>.</w:t>
      </w:r>
    </w:p>
    <w:p w:rsidR="00B8366E" w:rsidRDefault="00B4385F" w:rsidP="00B8366E">
      <w:pPr>
        <w:pStyle w:val="Heading1"/>
      </w:pPr>
      <w:r>
        <w:t>2</w:t>
      </w:r>
      <w:r>
        <w:tab/>
        <w:t>Discussion</w:t>
      </w:r>
    </w:p>
    <w:p w:rsidR="00B8366E" w:rsidRDefault="004E781B" w:rsidP="00B8366E">
      <w:pPr>
        <w:pStyle w:val="Heading2"/>
      </w:pPr>
      <w:r>
        <w:t>2.1</w:t>
      </w:r>
      <w:r w:rsidR="00B4385F">
        <w:tab/>
      </w:r>
      <w:r w:rsidR="00AD64A7">
        <w:t xml:space="preserve">Definition </w:t>
      </w:r>
      <w:r>
        <w:t xml:space="preserve">of </w:t>
      </w:r>
      <w:r w:rsidR="00AD64A7">
        <w:t>A-MPR regions</w:t>
      </w:r>
    </w:p>
    <w:p w:rsidR="00C5472D" w:rsidRDefault="00A3051D" w:rsidP="001263F3">
      <w:r>
        <w:fldChar w:fldCharType="begin"/>
      </w:r>
      <w:r>
        <w:instrText xml:space="preserve"> REF _Ref509400988 \h </w:instrText>
      </w:r>
      <w:r>
        <w:fldChar w:fldCharType="separate"/>
      </w:r>
      <w:r w:rsidR="0002515F" w:rsidRPr="00F9549C">
        <w:t xml:space="preserve">Figure </w:t>
      </w:r>
      <w:r w:rsidR="0002515F">
        <w:rPr>
          <w:noProof/>
        </w:rPr>
        <w:t>1</w:t>
      </w:r>
      <w:r>
        <w:fldChar w:fldCharType="end"/>
      </w:r>
      <w:r>
        <w:t xml:space="preserve"> depicts two examples of</w:t>
      </w:r>
      <w:r w:rsidR="00E74A5B">
        <w:t xml:space="preserve"> band </w:t>
      </w:r>
      <w:r>
        <w:t xml:space="preserve">n41 A-MPR </w:t>
      </w:r>
      <w:r w:rsidR="006F6F87">
        <w:t xml:space="preserve">when the channel is at the lower band edge. </w:t>
      </w:r>
      <w:r w:rsidR="00352243">
        <w:t>In the figure, a zero value indicates that the MPR is sufficient, wher</w:t>
      </w:r>
      <w:r w:rsidR="00D92D24">
        <w:t xml:space="preserve">eas a nonzero value indicates a </w:t>
      </w:r>
      <w:r w:rsidR="00352243">
        <w:t>required total back-off</w:t>
      </w:r>
      <w:r w:rsidR="00D92D24">
        <w:t xml:space="preserve"> higher than the MPR</w:t>
      </w:r>
      <w:r w:rsidR="00352243">
        <w:t>.</w:t>
      </w:r>
      <w:r w:rsidR="006F33AE">
        <w:t xml:space="preserve"> </w:t>
      </w:r>
      <w:r w:rsidR="006F33AE">
        <w:fldChar w:fldCharType="begin"/>
      </w:r>
      <w:r w:rsidR="006F33AE">
        <w:instrText xml:space="preserve"> REF _Ref509401801 \h </w:instrText>
      </w:r>
      <w:r w:rsidR="006F33AE">
        <w:fldChar w:fldCharType="separate"/>
      </w:r>
      <w:r w:rsidR="0002515F">
        <w:t xml:space="preserve">Figure </w:t>
      </w:r>
      <w:r w:rsidR="0002515F">
        <w:rPr>
          <w:noProof/>
        </w:rPr>
        <w:t>2</w:t>
      </w:r>
      <w:r w:rsidR="006F33AE">
        <w:fldChar w:fldCharType="end"/>
      </w:r>
      <w:r w:rsidR="006F33AE">
        <w:t xml:space="preserve"> shows the frequency offset required to avoid A-MPR. The frequency offset is defined as the distance between the lower band edge and lower channel edge.</w:t>
      </w:r>
      <w:r w:rsidR="00A909A6">
        <w:t xml:space="preserve"> According to our simulations </w:t>
      </w:r>
      <w:r w:rsidR="00A909A6">
        <w:fldChar w:fldCharType="begin"/>
      </w:r>
      <w:r w:rsidR="00A909A6">
        <w:instrText xml:space="preserve"> REF _Ref509448318 \r \h </w:instrText>
      </w:r>
      <w:r w:rsidR="00A909A6">
        <w:fldChar w:fldCharType="separate"/>
      </w:r>
      <w:r w:rsidR="0002515F">
        <w:t>[1]</w:t>
      </w:r>
      <w:r w:rsidR="00A909A6">
        <w:fldChar w:fldCharType="end"/>
      </w:r>
      <w:r w:rsidR="00A909A6">
        <w:t xml:space="preserve">, </w:t>
      </w:r>
      <w:r w:rsidR="00A23691">
        <w:t xml:space="preserve">no MPR is needed </w:t>
      </w:r>
      <w:r w:rsidR="0063628A">
        <w:t xml:space="preserve">when the frequency offset is </w:t>
      </w:r>
      <w:r w:rsidR="00867A56">
        <w:t xml:space="preserve">sufficiently </w:t>
      </w:r>
      <w:r w:rsidR="002B7F17">
        <w:t>large, hence the only cause of A</w:t>
      </w:r>
      <w:r w:rsidR="001A2A1B">
        <w:t xml:space="preserve">-MPR is the additional spurious </w:t>
      </w:r>
      <w:r w:rsidR="00AC3D0D">
        <w:t xml:space="preserve">emission </w:t>
      </w:r>
      <w:r w:rsidR="001A2A1B">
        <w:t>mask</w:t>
      </w:r>
      <w:r w:rsidR="002B7F17">
        <w:t xml:space="preserve"> below the band.</w:t>
      </w:r>
    </w:p>
    <w:p w:rsidR="00270EDE" w:rsidRDefault="00270EDE" w:rsidP="00270EDE">
      <w:pPr>
        <w:keepNext/>
        <w:jc w:val="center"/>
      </w:pPr>
      <w:r>
        <w:rPr>
          <w:noProof/>
        </w:rPr>
        <w:drawing>
          <wp:inline distT="0" distB="0" distL="0" distR="0" wp14:anchorId="3CFC5F27" wp14:editId="38DB347C">
            <wp:extent cx="2999238" cy="2249429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33CF54" wp14:editId="16A57F9E">
            <wp:extent cx="2999238" cy="2249429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279" w:rsidRDefault="00270EDE" w:rsidP="00F9549C">
      <w:pPr>
        <w:pStyle w:val="Caption"/>
      </w:pPr>
      <w:bookmarkStart w:id="2" w:name="_Ref509400988"/>
      <w:r w:rsidRPr="00F9549C">
        <w:t xml:space="preserve">Figure </w:t>
      </w:r>
      <w:r w:rsidRPr="00F9549C">
        <w:fldChar w:fldCharType="begin"/>
      </w:r>
      <w:r w:rsidRPr="00F9549C">
        <w:instrText xml:space="preserve"> SEQ Figure \* ARABIC </w:instrText>
      </w:r>
      <w:r w:rsidRPr="00F9549C">
        <w:fldChar w:fldCharType="separate"/>
      </w:r>
      <w:r w:rsidR="0002515F">
        <w:rPr>
          <w:noProof/>
        </w:rPr>
        <w:t>1</w:t>
      </w:r>
      <w:r w:rsidRPr="00F9549C">
        <w:fldChar w:fldCharType="end"/>
      </w:r>
      <w:bookmarkEnd w:id="2"/>
      <w:r w:rsidRPr="00F9549C">
        <w:t>. Example</w:t>
      </w:r>
      <w:r w:rsidR="00CC7884">
        <w:t>s of simulated</w:t>
      </w:r>
      <w:r w:rsidRPr="00F9549C">
        <w:t xml:space="preserve"> A-MPR triangles</w:t>
      </w:r>
      <w:r w:rsidR="00CB30A6" w:rsidRPr="00F9549C">
        <w:t xml:space="preserve"> (20 MHz and 100 MHz channels)</w:t>
      </w:r>
    </w:p>
    <w:p w:rsidR="00832279" w:rsidRPr="00832279" w:rsidRDefault="00832279" w:rsidP="00832279"/>
    <w:p w:rsidR="00832279" w:rsidRPr="00832279" w:rsidRDefault="00832279" w:rsidP="00832279"/>
    <w:p w:rsidR="00832279" w:rsidRPr="00832279" w:rsidRDefault="00832279" w:rsidP="00832279"/>
    <w:p w:rsidR="00832279" w:rsidRDefault="00832279" w:rsidP="00832279"/>
    <w:p w:rsidR="00270EDE" w:rsidRPr="00832279" w:rsidRDefault="00270EDE" w:rsidP="00832279">
      <w:pPr>
        <w:jc w:val="center"/>
      </w:pPr>
    </w:p>
    <w:p w:rsidR="009B4C43" w:rsidRDefault="00ED7DAC" w:rsidP="009B4C4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84707F9" wp14:editId="4809B6CB">
            <wp:extent cx="2999238" cy="2249429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6E9A36" wp14:editId="4E1EDBE3">
            <wp:extent cx="2999238" cy="2249429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DAC" w:rsidRDefault="009B4C43" w:rsidP="00F9549C">
      <w:pPr>
        <w:pStyle w:val="Caption"/>
      </w:pPr>
      <w:bookmarkStart w:id="3" w:name="_Ref509401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2</w:t>
      </w:r>
      <w:r>
        <w:fldChar w:fldCharType="end"/>
      </w:r>
      <w:bookmarkEnd w:id="3"/>
      <w:r>
        <w:t xml:space="preserve">. Examples of frequency offset </w:t>
      </w:r>
      <w:r w:rsidR="000C1AB5">
        <w:t xml:space="preserve">required </w:t>
      </w:r>
      <w:r>
        <w:t>to avoid A-MPR</w:t>
      </w:r>
      <w:r w:rsidR="00F64F96">
        <w:t xml:space="preserve">  (20 MHz and 100 MHz channels)</w:t>
      </w:r>
    </w:p>
    <w:p w:rsidR="00F9035C" w:rsidRDefault="00F9035C" w:rsidP="00F9035C">
      <w:r>
        <w:t>In the</w:t>
      </w:r>
      <w:r w:rsidR="00961A34">
        <w:t>se</w:t>
      </w:r>
      <w:r w:rsidR="006E0194">
        <w:t xml:space="preserve"> </w:t>
      </w:r>
      <w:r>
        <w:t>triangles</w:t>
      </w:r>
      <w:r w:rsidR="00E80CD1">
        <w:t>, we can identify three regions</w:t>
      </w:r>
      <w:r w:rsidR="00CF746C">
        <w:t>:</w:t>
      </w:r>
    </w:p>
    <w:p w:rsidR="00F9035C" w:rsidRDefault="00F9035C" w:rsidP="00F9035C">
      <w:pPr>
        <w:pStyle w:val="ListParagraph"/>
        <w:numPr>
          <w:ilvl w:val="0"/>
          <w:numId w:val="6"/>
        </w:numPr>
      </w:pPr>
      <w:r>
        <w:t>IMD3 region</w:t>
      </w:r>
      <w:r w:rsidR="00DF355C">
        <w:t xml:space="preserve"> at the lower left corner, </w:t>
      </w:r>
      <w:r>
        <w:t xml:space="preserve">caused by IMD3 of the allocation and its I/Q </w:t>
      </w:r>
      <w:r w:rsidR="00DF355C">
        <w:t>image</w:t>
      </w:r>
      <w:r w:rsidR="00D434BC">
        <w:t xml:space="preserve"> (illustrated in </w:t>
      </w:r>
      <w:r w:rsidR="00D434BC">
        <w:fldChar w:fldCharType="begin"/>
      </w:r>
      <w:r w:rsidR="00D434BC">
        <w:instrText xml:space="preserve"> REF _Ref509406393 \h </w:instrText>
      </w:r>
      <w:r w:rsidR="00D434BC">
        <w:fldChar w:fldCharType="separate"/>
      </w:r>
      <w:r w:rsidR="0002515F" w:rsidRPr="00F9549C">
        <w:t xml:space="preserve">Figure </w:t>
      </w:r>
      <w:r w:rsidR="0002515F">
        <w:rPr>
          <w:noProof/>
        </w:rPr>
        <w:t>3</w:t>
      </w:r>
      <w:r w:rsidR="00D434BC">
        <w:fldChar w:fldCharType="end"/>
      </w:r>
      <w:r w:rsidR="00D434BC">
        <w:t>)</w:t>
      </w:r>
      <w:r w:rsidR="00C42FE3">
        <w:t>. This</w:t>
      </w:r>
      <w:r w:rsidR="00381B48">
        <w:t xml:space="preserve"> region</w:t>
      </w:r>
      <w:r w:rsidR="00C42FE3">
        <w:t xml:space="preserve"> </w:t>
      </w:r>
      <w:r w:rsidR="004C5D6E">
        <w:t xml:space="preserve">overlaps </w:t>
      </w:r>
      <w:r w:rsidR="00934AB6">
        <w:t xml:space="preserve">with </w:t>
      </w:r>
      <w:r w:rsidR="004C5D6E">
        <w:t xml:space="preserve">both </w:t>
      </w:r>
      <w:r w:rsidR="000C218E">
        <w:t xml:space="preserve">the </w:t>
      </w:r>
      <w:r w:rsidR="004C5D6E">
        <w:t>inner and outer region</w:t>
      </w:r>
      <w:r w:rsidR="00120B6E">
        <w:t xml:space="preserve"> of the MPR definition</w:t>
      </w:r>
      <w:r w:rsidR="00C42FE3">
        <w:t>.</w:t>
      </w:r>
    </w:p>
    <w:p w:rsidR="0086536D" w:rsidRDefault="0086536D" w:rsidP="0086536D">
      <w:pPr>
        <w:pStyle w:val="ListParagraph"/>
        <w:numPr>
          <w:ilvl w:val="0"/>
          <w:numId w:val="6"/>
        </w:numPr>
      </w:pPr>
      <w:r>
        <w:t xml:space="preserve">Outer regrowth region at the left edge, caused by spectral regrowth </w:t>
      </w:r>
    </w:p>
    <w:p w:rsidR="0086536D" w:rsidRDefault="0086536D" w:rsidP="0086536D">
      <w:pPr>
        <w:pStyle w:val="ListParagraph"/>
        <w:numPr>
          <w:ilvl w:val="0"/>
          <w:numId w:val="6"/>
        </w:numPr>
      </w:pPr>
      <w:r>
        <w:t xml:space="preserve">Inner regrowth region at the </w:t>
      </w:r>
      <w:r w:rsidR="009F5F55">
        <w:t>border of inner region of MPR definition</w:t>
      </w:r>
      <w:r>
        <w:t xml:space="preserve">, caused by spectral </w:t>
      </w:r>
      <w:r w:rsidR="00264237">
        <w:t>regrowth. This region exists because the MPR is lower in the inner region.</w:t>
      </w:r>
    </w:p>
    <w:p w:rsidR="004E2298" w:rsidRDefault="004E2298" w:rsidP="004E2298">
      <w:r>
        <w:t xml:space="preserve">These regions </w:t>
      </w:r>
      <w:r w:rsidR="00E25C13">
        <w:t>are sufficient</w:t>
      </w:r>
      <w:r w:rsidR="005054DB">
        <w:t xml:space="preserve"> </w:t>
      </w:r>
      <w:r w:rsidR="00E25C13">
        <w:t>for characterizing</w:t>
      </w:r>
      <w:r w:rsidR="00365FE3">
        <w:t xml:space="preserve"> the A-MPR of </w:t>
      </w:r>
      <w:r>
        <w:t xml:space="preserve">all channel bandwidths, SCSs and multiple access schemes, even though </w:t>
      </w:r>
      <w:r w:rsidR="005054DB">
        <w:t xml:space="preserve">not all three regions </w:t>
      </w:r>
      <w:r w:rsidR="00365FE3">
        <w:t>appear in all cases.</w:t>
      </w:r>
    </w:p>
    <w:p w:rsidR="001E2623" w:rsidRDefault="001E2623" w:rsidP="001E2623">
      <w:pPr>
        <w:keepNext/>
        <w:jc w:val="center"/>
      </w:pPr>
      <w:r w:rsidRPr="00E7597D">
        <w:rPr>
          <w:noProof/>
        </w:rPr>
        <w:drawing>
          <wp:inline distT="0" distB="0" distL="0" distR="0" wp14:anchorId="78E3B253" wp14:editId="523D175B">
            <wp:extent cx="4626000" cy="2484000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24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23" w:rsidRPr="00F9549C" w:rsidRDefault="001E2623" w:rsidP="001E2623">
      <w:pPr>
        <w:pStyle w:val="Caption"/>
      </w:pPr>
      <w:bookmarkStart w:id="4" w:name="_Ref509406393"/>
      <w:r w:rsidRPr="00F9549C">
        <w:t xml:space="preserve">Figure </w:t>
      </w:r>
      <w:r w:rsidRPr="00F9549C">
        <w:fldChar w:fldCharType="begin"/>
      </w:r>
      <w:r w:rsidRPr="00F9549C">
        <w:instrText xml:space="preserve"> SEQ Figure \* ARABIC </w:instrText>
      </w:r>
      <w:r w:rsidRPr="00F9549C">
        <w:fldChar w:fldCharType="separate"/>
      </w:r>
      <w:r w:rsidR="0002515F">
        <w:rPr>
          <w:noProof/>
        </w:rPr>
        <w:t>3</w:t>
      </w:r>
      <w:r w:rsidRPr="00F9549C">
        <w:fldChar w:fldCharType="end"/>
      </w:r>
      <w:bookmarkEnd w:id="4"/>
      <w:r w:rsidRPr="00F9549C">
        <w:t xml:space="preserve">. Frequency offset required </w:t>
      </w:r>
      <w:r w:rsidR="00A9163D">
        <w:t>to avoid the A-MPR</w:t>
      </w:r>
      <w:r w:rsidR="006331F7">
        <w:t xml:space="preserve"> </w:t>
      </w:r>
      <w:r w:rsidRPr="00F9549C">
        <w:t>due to IMD3 of allocation and its image (40 MHz channel)</w:t>
      </w:r>
    </w:p>
    <w:p w:rsidR="0023269C" w:rsidRPr="00044CC5" w:rsidRDefault="00C84BCF" w:rsidP="0023269C">
      <w:pPr>
        <w:pStyle w:val="ListParagraph"/>
        <w:ind w:left="0"/>
        <w:rPr>
          <w:b/>
        </w:rPr>
      </w:pPr>
      <w:r w:rsidRPr="00C84BCF">
        <w:t xml:space="preserve">Based on </w:t>
      </w:r>
      <w:r>
        <w:t xml:space="preserve">our results to avoid A-MPR usage due to </w:t>
      </w:r>
      <w:r w:rsidR="00F37467">
        <w:t xml:space="preserve">inner and outer </w:t>
      </w:r>
      <w:r>
        <w:t>re-growth regions 10 MHz frequency offset is sufficient therefore</w:t>
      </w:r>
      <w:r w:rsidRPr="00C84BCF">
        <w:t xml:space="preserve"> </w:t>
      </w:r>
      <w:r>
        <w:t>it is not worthwhile to treat the inner and outer regrowth region separately</w:t>
      </w:r>
      <w:r w:rsidR="00F37467">
        <w:t xml:space="preserve"> hence only two regions is sufficient i.e. IMD3 region and re-growth region. These regions are shown in Figure 4 with parameters </w:t>
      </w:r>
      <w:r w:rsidR="00317511">
        <w:t xml:space="preserve">defined later in this document, in </w:t>
      </w:r>
      <w:r w:rsidR="00317511">
        <w:fldChar w:fldCharType="begin"/>
      </w:r>
      <w:r w:rsidR="00317511">
        <w:instrText xml:space="preserve"> REF _Ref509480096 \h </w:instrText>
      </w:r>
      <w:r w:rsidR="00317511">
        <w:fldChar w:fldCharType="separate"/>
      </w:r>
      <w:r w:rsidR="00317511">
        <w:t xml:space="preserve">Table </w:t>
      </w:r>
      <w:r w:rsidR="00317511">
        <w:rPr>
          <w:noProof/>
        </w:rPr>
        <w:t>1</w:t>
      </w:r>
      <w:r w:rsidR="00317511">
        <w:fldChar w:fldCharType="end"/>
      </w:r>
      <w:r w:rsidR="00317511">
        <w:t xml:space="preserve">. </w:t>
      </w:r>
    </w:p>
    <w:p w:rsidR="009D5CFE" w:rsidRDefault="00536831" w:rsidP="003C3277">
      <w:pPr>
        <w:keepNext/>
        <w:keepLines/>
        <w:jc w:val="center"/>
      </w:pPr>
      <w:r>
        <w:object w:dxaOrig="6443" w:dyaOrig="6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74.35pt;height:286.35pt;mso-position-horizontal:absolute" o:ole="">
            <v:imagedata r:id="rId13" o:title=""/>
          </v:shape>
          <o:OLEObject Type="Embed" ProgID="Visio.Drawing.11" ShapeID="_x0000_i1026" DrawAspect="Content" ObjectID="_1584529116" r:id="rId14"/>
        </w:object>
      </w:r>
      <w:r w:rsidR="006A1DEB">
        <w:br/>
      </w:r>
      <w:r>
        <w:object w:dxaOrig="6643" w:dyaOrig="6443">
          <v:shape id="_x0000_i1028" type="#_x0000_t75" style="width:282pt;height:274.35pt" o:ole="">
            <v:imagedata r:id="rId15" o:title=""/>
          </v:shape>
          <o:OLEObject Type="Embed" ProgID="Visio.Drawing.11" ShapeID="_x0000_i1028" DrawAspect="Content" ObjectID="_1584529117" r:id="rId16"/>
        </w:object>
      </w:r>
    </w:p>
    <w:p w:rsidR="009D5CFE" w:rsidRPr="004E781B" w:rsidRDefault="009D5CFE" w:rsidP="00F9549C">
      <w:pPr>
        <w:pStyle w:val="Caption"/>
      </w:pPr>
      <w:bookmarkStart w:id="5" w:name="_Ref5094005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4</w:t>
      </w:r>
      <w:r>
        <w:fldChar w:fldCharType="end"/>
      </w:r>
      <w:bookmarkEnd w:id="5"/>
      <w:r>
        <w:t>. A-MPR reg</w:t>
      </w:r>
      <w:r w:rsidR="005D02E0">
        <w:t>ions in a</w:t>
      </w:r>
      <w:r>
        <w:t xml:space="preserve"> </w:t>
      </w:r>
      <w:r w:rsidR="005D02E0">
        <w:t>narrow channel (</w:t>
      </w:r>
      <w:r w:rsidR="00A50719">
        <w:t>above</w:t>
      </w:r>
      <w:r w:rsidR="005D02E0">
        <w:t xml:space="preserve">) and </w:t>
      </w:r>
      <w:r>
        <w:t>wide channel</w:t>
      </w:r>
      <w:r w:rsidR="005D02E0">
        <w:t xml:space="preserve"> (</w:t>
      </w:r>
      <w:r w:rsidR="00A50719">
        <w:t>below</w:t>
      </w:r>
      <w:r w:rsidR="005D02E0">
        <w:t>)</w:t>
      </w:r>
      <w:r w:rsidR="00966CEF">
        <w:t>;</w:t>
      </w:r>
      <w:r w:rsidR="00966CEF">
        <w:br/>
        <w:t>allocation coordinates converted to Hz for a unified parametrization among all SCSs.</w:t>
      </w:r>
    </w:p>
    <w:p w:rsidR="00814CFE" w:rsidRPr="004E781B" w:rsidRDefault="00814CFE" w:rsidP="004E781B">
      <w:pPr>
        <w:jc w:val="center"/>
      </w:pPr>
    </w:p>
    <w:p w:rsidR="00AD6F6D" w:rsidRDefault="004E781B" w:rsidP="00B8366E">
      <w:pPr>
        <w:pStyle w:val="Heading2"/>
      </w:pPr>
      <w:r>
        <w:t>2.2</w:t>
      </w:r>
      <w:r>
        <w:tab/>
      </w:r>
      <w:r w:rsidR="00A1068E">
        <w:t>Region borders</w:t>
      </w:r>
      <w:r w:rsidR="00926080">
        <w:t>, frequency</w:t>
      </w:r>
      <w:r w:rsidR="00A1068E">
        <w:t xml:space="preserve"> </w:t>
      </w:r>
      <w:r w:rsidR="00926080">
        <w:t xml:space="preserve">offsets, </w:t>
      </w:r>
      <w:r w:rsidR="00A1068E">
        <w:t>and A-MPR</w:t>
      </w:r>
    </w:p>
    <w:p w:rsidR="000B041A" w:rsidRDefault="000B041A" w:rsidP="00AE5921">
      <w:r>
        <w:fldChar w:fldCharType="begin"/>
      </w:r>
      <w:r>
        <w:instrText xml:space="preserve"> REF _Ref509419240 \h </w:instrText>
      </w:r>
      <w:r>
        <w:fldChar w:fldCharType="separate"/>
      </w:r>
      <w:r w:rsidR="0002515F" w:rsidRPr="00AD6F6D">
        <w:t xml:space="preserve">Figure </w:t>
      </w:r>
      <w:r w:rsidR="0002515F">
        <w:rPr>
          <w:noProof/>
        </w:rPr>
        <w:t>5</w:t>
      </w:r>
      <w:r>
        <w:fldChar w:fldCharType="end"/>
      </w:r>
      <w:r>
        <w:t>–</w:t>
      </w:r>
      <w:r>
        <w:fldChar w:fldCharType="begin"/>
      </w:r>
      <w:r>
        <w:instrText xml:space="preserve"> REF _Ref509419380 \h </w:instrText>
      </w:r>
      <w:r>
        <w:fldChar w:fldCharType="separate"/>
      </w:r>
      <w:r w:rsidR="0002515F">
        <w:t xml:space="preserve">Figure </w:t>
      </w:r>
      <w:r w:rsidR="0002515F">
        <w:rPr>
          <w:noProof/>
        </w:rPr>
        <w:t>11</w:t>
      </w:r>
      <w:r>
        <w:fldChar w:fldCharType="end"/>
      </w:r>
      <w:r>
        <w:t xml:space="preserve"> summarize our simulation results for the region</w:t>
      </w:r>
      <w:r w:rsidR="007B16DA">
        <w:t xml:space="preserve"> borders and frequency offsets.</w:t>
      </w:r>
    </w:p>
    <w:p w:rsidR="00EB398F" w:rsidRPr="00F37467" w:rsidRDefault="00243590" w:rsidP="00F455F0">
      <w:r w:rsidRPr="00F37467">
        <w:t>The region borders and frequency offsets</w:t>
      </w:r>
      <w:r w:rsidR="003B10B0" w:rsidRPr="00F37467">
        <w:t xml:space="preserve"> can be expressed as</w:t>
      </w:r>
      <w:r w:rsidRPr="00F37467">
        <w:t xml:space="preserve"> very simple functions </w:t>
      </w:r>
      <w:r w:rsidR="00405DFF" w:rsidRPr="00F37467">
        <w:t>of the channel bandwidth</w:t>
      </w:r>
      <w:r w:rsidR="003B10B0" w:rsidRPr="00F37467">
        <w:t xml:space="preserve"> or as constants.</w:t>
      </w:r>
      <w:r w:rsidR="00F37467">
        <w:t xml:space="preserve"> </w:t>
      </w:r>
      <w:r w:rsidR="00F21816" w:rsidRPr="00F37467">
        <w:t>To simplify the A-MPR rule, u</w:t>
      </w:r>
      <w:r w:rsidR="00EB398F" w:rsidRPr="00F37467">
        <w:t xml:space="preserve">se </w:t>
      </w:r>
      <w:r w:rsidR="00EC591B" w:rsidRPr="00F37467">
        <w:t>a parametrization common for all SCSs:</w:t>
      </w:r>
      <w:r w:rsidR="009D7209" w:rsidRPr="00F37467">
        <w:t xml:space="preserve"> express </w:t>
      </w:r>
      <w:r w:rsidR="003E4341" w:rsidRPr="00F37467">
        <w:t xml:space="preserve">the region borders </w:t>
      </w:r>
      <w:r w:rsidR="00EC591B" w:rsidRPr="00F37467">
        <w:t>in Hz.</w:t>
      </w:r>
    </w:p>
    <w:p w:rsidR="001A0EF1" w:rsidRPr="00240129" w:rsidRDefault="00240129" w:rsidP="00F455F0">
      <w:pPr>
        <w:pStyle w:val="Heading3"/>
      </w:pPr>
      <w:r>
        <w:lastRenderedPageBreak/>
        <w:t>2.2.1</w:t>
      </w:r>
      <w:r>
        <w:tab/>
        <w:t>IMD3 region</w:t>
      </w:r>
    </w:p>
    <w:p w:rsidR="007B16DA" w:rsidRPr="00CD5BE6" w:rsidRDefault="009F7939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>The maximum RB</w:t>
      </w:r>
      <w:r w:rsidRPr="00C02F1A">
        <w:rPr>
          <w:b/>
          <w:vertAlign w:val="subscript"/>
        </w:rPr>
        <w:t>start</w:t>
      </w:r>
      <w:r w:rsidRPr="00CD5BE6">
        <w:rPr>
          <w:b/>
        </w:rPr>
        <w:t xml:space="preserve"> in the IMD3 region is approximately proportional to channel bandwidth.</w:t>
      </w:r>
    </w:p>
    <w:p w:rsidR="009F164B" w:rsidRPr="009F164B" w:rsidRDefault="009F164B" w:rsidP="00AE5921">
      <w:pPr>
        <w:rPr>
          <w:lang w:val="en-US"/>
        </w:rPr>
      </w:pPr>
      <w:r>
        <w:t>This is cause</w:t>
      </w:r>
      <w:r w:rsidR="006C0116">
        <w:t>d</w:t>
      </w:r>
      <w:r>
        <w:t xml:space="preserve"> by the fact that the maximum distance of a narrow allocation and its image is approximately </w:t>
      </w:r>
      <w:r w:rsidRPr="009F164B">
        <w:t xml:space="preserve">proportional to </w:t>
      </w:r>
      <w:r>
        <w:t xml:space="preserve">the </w:t>
      </w:r>
      <w:r w:rsidR="00F91A52">
        <w:t>channel bandwidth.</w:t>
      </w:r>
    </w:p>
    <w:p w:rsidR="009F7939" w:rsidRPr="00CD5BE6" w:rsidRDefault="003E735E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 xml:space="preserve">The maximum </w:t>
      </w:r>
      <w:r w:rsidR="00F86F9E">
        <w:rPr>
          <w:b/>
        </w:rPr>
        <w:t xml:space="preserve">allocation </w:t>
      </w:r>
      <w:r w:rsidR="00B359F7" w:rsidRPr="00CD5BE6">
        <w:rPr>
          <w:b/>
        </w:rPr>
        <w:t xml:space="preserve">width </w:t>
      </w:r>
      <w:r w:rsidR="003E18CB">
        <w:rPr>
          <w:b/>
        </w:rPr>
        <w:t>of</w:t>
      </w:r>
      <w:r w:rsidRPr="00CD5BE6">
        <w:rPr>
          <w:b/>
        </w:rPr>
        <w:t xml:space="preserve"> the IMD3 region can be defined as a constant</w:t>
      </w:r>
      <w:r w:rsidR="008E64FC">
        <w:rPr>
          <w:b/>
        </w:rPr>
        <w:t xml:space="preserve"> in Hz</w:t>
      </w:r>
      <w:r w:rsidRPr="00CD5BE6">
        <w:rPr>
          <w:b/>
        </w:rPr>
        <w:t>.</w:t>
      </w:r>
    </w:p>
    <w:p w:rsidR="00995E3D" w:rsidRDefault="004B4C4D" w:rsidP="00AE5921">
      <w:r>
        <w:t>At larger allocation widths, the IMD3 peak stays below the additional spurious limit.</w:t>
      </w:r>
    </w:p>
    <w:p w:rsidR="006A7FB8" w:rsidRPr="00CD5BE6" w:rsidRDefault="000A066B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 xml:space="preserve">In the IMD3 region, the frequency offset required to avoid A-MPR </w:t>
      </w:r>
      <w:r w:rsidR="008C6F32" w:rsidRPr="00CD5BE6">
        <w:rPr>
          <w:b/>
        </w:rPr>
        <w:t>decreases</w:t>
      </w:r>
      <w:r w:rsidR="00425487">
        <w:rPr>
          <w:b/>
        </w:rPr>
        <w:t xml:space="preserve"> by</w:t>
      </w:r>
      <w:r w:rsidR="008C6F32" w:rsidRPr="00CD5BE6">
        <w:rPr>
          <w:b/>
        </w:rPr>
        <w:t xml:space="preserve"> </w:t>
      </w:r>
      <w:r w:rsidR="00DD06EA" w:rsidRPr="00CD5BE6">
        <w:rPr>
          <w:b/>
        </w:rPr>
        <w:t>3</w:t>
      </w:r>
      <w:r w:rsidR="00DD06EA" w:rsidRPr="00CD5BE6">
        <w:rPr>
          <w:b/>
          <w:i/>
        </w:rPr>
        <w:t>N</w:t>
      </w:r>
      <w:r w:rsidR="00DD06EA">
        <w:sym w:font="Symbol" w:char="F0D7"/>
      </w:r>
      <w:r w:rsidR="00DD06EA" w:rsidRPr="00CD5BE6">
        <w:rPr>
          <w:b/>
        </w:rPr>
        <w:t>12SCS when RB</w:t>
      </w:r>
      <w:r w:rsidR="00DD06EA" w:rsidRPr="006432FA">
        <w:rPr>
          <w:b/>
          <w:vertAlign w:val="subscript"/>
        </w:rPr>
        <w:t>start</w:t>
      </w:r>
      <w:r w:rsidR="00DD06EA" w:rsidRPr="00CD5BE6">
        <w:rPr>
          <w:b/>
        </w:rPr>
        <w:t xml:space="preserve"> is increased by </w:t>
      </w:r>
      <w:r w:rsidR="00DD06EA" w:rsidRPr="00CD5BE6">
        <w:rPr>
          <w:b/>
          <w:i/>
        </w:rPr>
        <w:t>N</w:t>
      </w:r>
      <w:r w:rsidR="00DD06EA" w:rsidRPr="00CD5BE6">
        <w:rPr>
          <w:b/>
        </w:rPr>
        <w:t xml:space="preserve"> RB.</w:t>
      </w:r>
      <w:r w:rsidR="00A4357C">
        <w:rPr>
          <w:b/>
        </w:rPr>
        <w:t xml:space="preserve"> This does not depend on the PA.</w:t>
      </w:r>
    </w:p>
    <w:p w:rsidR="00DD06EA" w:rsidRDefault="00CC015B" w:rsidP="00AE5921">
      <w:r w:rsidRPr="00CC015B">
        <w:t xml:space="preserve">When </w:t>
      </w:r>
      <w:r>
        <w:t>the allocation moves</w:t>
      </w:r>
      <w:r w:rsidR="0028689D">
        <w:t xml:space="preserve"> </w:t>
      </w:r>
      <w:r w:rsidR="0028689D" w:rsidRPr="00AD08ED">
        <w:rPr>
          <w:i/>
        </w:rPr>
        <w:t>N</w:t>
      </w:r>
      <w:r w:rsidR="0028689D">
        <w:t xml:space="preserve"> RB towards the channel center</w:t>
      </w:r>
      <w:r>
        <w:t>, so does the image.</w:t>
      </w:r>
      <w:r w:rsidR="00B67526">
        <w:t xml:space="preserve"> </w:t>
      </w:r>
      <w:r w:rsidR="00A31597">
        <w:t xml:space="preserve">As a result, the </w:t>
      </w:r>
      <w:r w:rsidR="00DE2D5E">
        <w:t xml:space="preserve">IMD3 peak </w:t>
      </w:r>
      <w:r w:rsidR="00E071C3">
        <w:t>shifts by 3</w:t>
      </w:r>
      <w:r w:rsidR="00E071C3" w:rsidRPr="00E071C3">
        <w:rPr>
          <w:i/>
        </w:rPr>
        <w:t>N</w:t>
      </w:r>
      <w:r w:rsidR="00E071C3">
        <w:t xml:space="preserve"> RB.</w:t>
      </w:r>
      <w:r w:rsidR="008866C0">
        <w:t xml:space="preserve"> This is verified by the simulation data shown in </w:t>
      </w:r>
      <w:r w:rsidR="008866C0">
        <w:fldChar w:fldCharType="begin"/>
      </w:r>
      <w:r w:rsidR="008866C0">
        <w:instrText xml:space="preserve"> REF _Ref509452798 \h </w:instrText>
      </w:r>
      <w:r w:rsidR="008866C0">
        <w:fldChar w:fldCharType="separate"/>
      </w:r>
      <w:r w:rsidR="0002515F">
        <w:t xml:space="preserve">Figure </w:t>
      </w:r>
      <w:r w:rsidR="0002515F">
        <w:rPr>
          <w:noProof/>
        </w:rPr>
        <w:t>8</w:t>
      </w:r>
      <w:r w:rsidR="008866C0">
        <w:fldChar w:fldCharType="end"/>
      </w:r>
      <w:r w:rsidR="008866C0">
        <w:t>.</w:t>
      </w:r>
    </w:p>
    <w:p w:rsidR="00240129" w:rsidRPr="00CC015B" w:rsidRDefault="00240129" w:rsidP="00F455F0">
      <w:pPr>
        <w:pStyle w:val="Heading3"/>
      </w:pPr>
      <w:r>
        <w:t>2.2.2</w:t>
      </w:r>
      <w:r>
        <w:tab/>
        <w:t>Regrowth region</w:t>
      </w:r>
    </w:p>
    <w:p w:rsidR="00270D83" w:rsidRDefault="00240129" w:rsidP="00AE5921">
      <w:r w:rsidRPr="00F455F0">
        <w:t>T</w:t>
      </w:r>
      <w:r w:rsidR="00EB1F81" w:rsidRPr="00240129">
        <w:t>he expression L</w:t>
      </w:r>
      <w:r w:rsidR="00EB1F81" w:rsidRPr="00240129">
        <w:rPr>
          <w:vertAlign w:val="subscript"/>
        </w:rPr>
        <w:t>CRB</w:t>
      </w:r>
      <w:r w:rsidR="00EB1F81" w:rsidRPr="00240129">
        <w:t xml:space="preserve">/2 </w:t>
      </w:r>
      <w:r w:rsidRPr="00F455F0">
        <w:t xml:space="preserve">can be used </w:t>
      </w:r>
      <w:r w:rsidR="00E048F5" w:rsidRPr="00240129">
        <w:t>to</w:t>
      </w:r>
      <w:r w:rsidR="00322FBB" w:rsidRPr="00240129">
        <w:t xml:space="preserve"> slope the right-hand </w:t>
      </w:r>
      <w:r w:rsidR="008A28BB" w:rsidRPr="00240129">
        <w:t>border</w:t>
      </w:r>
      <w:r w:rsidR="00DF6C1E" w:rsidRPr="00240129">
        <w:t xml:space="preserve"> of regrowth region</w:t>
      </w:r>
      <w:r w:rsidR="00C868FD" w:rsidRPr="00240129">
        <w:t>.</w:t>
      </w:r>
      <w:r w:rsidR="007944CC" w:rsidRPr="00240129">
        <w:t xml:space="preserve"> Shift the </w:t>
      </w:r>
      <w:r w:rsidR="00EA0F2E" w:rsidRPr="00240129">
        <w:t>border</w:t>
      </w:r>
      <w:r w:rsidR="00852931" w:rsidRPr="00240129">
        <w:t xml:space="preserve"> horizontally </w:t>
      </w:r>
      <w:r w:rsidR="007944CC" w:rsidRPr="00240129">
        <w:t>by an amount that depends on the channel bandwidth.</w:t>
      </w:r>
      <w:r>
        <w:t xml:space="preserve"> </w:t>
      </w:r>
      <w:r w:rsidR="00270D83">
        <w:t xml:space="preserve">The expression </w:t>
      </w:r>
      <w:r w:rsidR="00270D83" w:rsidRPr="00270D83">
        <w:t>L</w:t>
      </w:r>
      <w:r w:rsidR="00270D83" w:rsidRPr="00270D83">
        <w:rPr>
          <w:vertAlign w:val="subscript"/>
        </w:rPr>
        <w:t>CRB</w:t>
      </w:r>
      <w:r w:rsidR="00270D83" w:rsidRPr="00270D83">
        <w:t>/2</w:t>
      </w:r>
      <w:r w:rsidR="00270D83">
        <w:rPr>
          <w:b/>
        </w:rPr>
        <w:t xml:space="preserve"> </w:t>
      </w:r>
      <w:r w:rsidR="00270D83" w:rsidRPr="00270D83">
        <w:t xml:space="preserve">was already used in the </w:t>
      </w:r>
      <w:r w:rsidR="005D071D">
        <w:t xml:space="preserve">agreed </w:t>
      </w:r>
      <w:r w:rsidR="00270D83" w:rsidRPr="00270D83">
        <w:t xml:space="preserve">MPR </w:t>
      </w:r>
      <w:r w:rsidR="00CF3183">
        <w:t>defin</w:t>
      </w:r>
      <w:r w:rsidR="00021C68">
        <w:t>i</w:t>
      </w:r>
      <w:r w:rsidR="00CF3183">
        <w:t>tion</w:t>
      </w:r>
      <w:r w:rsidR="00270D83">
        <w:t>.</w:t>
      </w:r>
      <w:r w:rsidR="006658EB">
        <w:t xml:space="preserve"> </w:t>
      </w:r>
      <w:r w:rsidR="00247377">
        <w:t xml:space="preserve">Here, it gives the same slope to the </w:t>
      </w:r>
      <w:r w:rsidR="00CC21D5">
        <w:t>edge of the regrowth region</w:t>
      </w:r>
      <w:r w:rsidR="00BC2812">
        <w:t xml:space="preserve">, </w:t>
      </w:r>
      <w:r w:rsidR="005A6D7B">
        <w:t>whereas</w:t>
      </w:r>
      <w:r w:rsidR="00BC2812">
        <w:t xml:space="preserve"> a </w:t>
      </w:r>
      <w:r w:rsidR="0094263B">
        <w:t xml:space="preserve">horizontal </w:t>
      </w:r>
      <w:r w:rsidR="00BC2812">
        <w:t>shift is used for including some allocations that are part of the inner region of the MPR definition.</w:t>
      </w:r>
    </w:p>
    <w:p w:rsidR="009C06E8" w:rsidRPr="00837A2F" w:rsidRDefault="00240129" w:rsidP="00AE5921">
      <w:r>
        <w:t>An upper</w:t>
      </w:r>
      <w:r w:rsidR="009C06E8" w:rsidRPr="00240129">
        <w:t xml:space="preserve"> constant</w:t>
      </w:r>
      <w:r w:rsidR="00D5559D" w:rsidRPr="00240129">
        <w:t xml:space="preserve"> </w:t>
      </w:r>
      <w:r w:rsidR="009C06E8" w:rsidRPr="00240129">
        <w:t xml:space="preserve">limit </w:t>
      </w:r>
      <w:r w:rsidR="00D5559D" w:rsidRPr="00240129">
        <w:t xml:space="preserve">(in Hz) </w:t>
      </w:r>
      <w:r w:rsidR="009C06E8" w:rsidRPr="00240129">
        <w:t>for L</w:t>
      </w:r>
      <w:r w:rsidR="009C06E8" w:rsidRPr="00240129">
        <w:rPr>
          <w:vertAlign w:val="subscript"/>
        </w:rPr>
        <w:t>CRB</w:t>
      </w:r>
      <w:r w:rsidR="009C06E8" w:rsidRPr="00240129">
        <w:t xml:space="preserve"> in the regrowth region</w:t>
      </w:r>
      <w:r w:rsidR="002D3A56">
        <w:t xml:space="preserve"> should be defined to</w:t>
      </w:r>
      <w:r w:rsidR="00837A2F" w:rsidRPr="00837A2F">
        <w:t xml:space="preserve"> </w:t>
      </w:r>
      <w:r w:rsidR="00F9250A">
        <w:t>ensure</w:t>
      </w:r>
      <w:r w:rsidR="00837A2F">
        <w:t xml:space="preserve"> better coverage for the largest allocations in 80 MHz and 100 MHz channels.</w:t>
      </w:r>
      <w:r w:rsidR="004E71EE">
        <w:t xml:space="preserve"> </w:t>
      </w:r>
      <w:r w:rsidR="003D794C">
        <w:t>In</w:t>
      </w:r>
      <w:r w:rsidR="002F10C8">
        <w:t xml:space="preserve"> channels narrower than 80 MHz, the </w:t>
      </w:r>
      <w:r w:rsidR="00FA5BD7">
        <w:t xml:space="preserve">regrowth region extends to the upper corner of the allocation triangle, hence </w:t>
      </w:r>
      <w:r w:rsidR="003D794C">
        <w:t>the upper limit of L</w:t>
      </w:r>
      <w:r w:rsidR="003D794C" w:rsidRPr="003D794C">
        <w:rPr>
          <w:vertAlign w:val="subscript"/>
        </w:rPr>
        <w:t>CRB</w:t>
      </w:r>
      <w:r w:rsidR="003D794C">
        <w:t xml:space="preserve"> has no effect on them.</w:t>
      </w:r>
    </w:p>
    <w:p w:rsidR="009F178A" w:rsidRPr="004E3D3E" w:rsidRDefault="002D3A56" w:rsidP="009F178A">
      <w:r w:rsidRPr="00F455F0">
        <w:t xml:space="preserve">To simplify the A-MPR definition </w:t>
      </w:r>
      <w:r w:rsidR="0079109F" w:rsidRPr="002D3A56">
        <w:t xml:space="preserve">a </w:t>
      </w:r>
      <w:r w:rsidR="00CD0176" w:rsidRPr="002D3A56">
        <w:t xml:space="preserve">constant </w:t>
      </w:r>
      <w:r w:rsidR="0079109F" w:rsidRPr="002D3A56">
        <w:t xml:space="preserve">10 MHz frequency </w:t>
      </w:r>
      <w:r w:rsidRPr="00F455F0">
        <w:t>should be used</w:t>
      </w:r>
      <w:r w:rsidR="0079109F" w:rsidRPr="002D3A56">
        <w:t>.</w:t>
      </w:r>
      <w:r>
        <w:t xml:space="preserve"> Note that </w:t>
      </w:r>
      <w:r w:rsidR="00AE456F">
        <w:t>10 MH</w:t>
      </w:r>
      <w:r w:rsidR="00AE456F" w:rsidRPr="00AE456F">
        <w:t>z</w:t>
      </w:r>
      <w:r w:rsidR="00AE456F">
        <w:t xml:space="preserve"> is the smallest NR channel bandwidth </w:t>
      </w:r>
      <w:r w:rsidR="00FC02EB">
        <w:t xml:space="preserve">permitted in band n41, hence defining a smaller offset for OFDM (as seen in </w:t>
      </w:r>
      <w:r w:rsidR="00FC02EB">
        <w:fldChar w:fldCharType="begin"/>
      </w:r>
      <w:r w:rsidR="00FC02EB">
        <w:instrText xml:space="preserve"> REF _Ref509419380 \h </w:instrText>
      </w:r>
      <w:r w:rsidR="00FC02EB">
        <w:fldChar w:fldCharType="separate"/>
      </w:r>
      <w:r w:rsidR="0002515F">
        <w:t xml:space="preserve">Figure </w:t>
      </w:r>
      <w:r w:rsidR="0002515F">
        <w:rPr>
          <w:noProof/>
        </w:rPr>
        <w:t>11</w:t>
      </w:r>
      <w:r w:rsidR="00FC02EB">
        <w:fldChar w:fldCharType="end"/>
      </w:r>
      <w:r w:rsidR="00D757D0">
        <w:t>) would give little benefit.</w:t>
      </w:r>
    </w:p>
    <w:p w:rsidR="0095702A" w:rsidRDefault="002D3A56" w:rsidP="0095702A">
      <w:pPr>
        <w:pStyle w:val="ListParagraph"/>
        <w:ind w:left="0"/>
      </w:pPr>
      <w:r>
        <w:t>According to our simulations, the maximum back-off values in the IMD3 region and regrowth region are very similar. Therefore u</w:t>
      </w:r>
      <w:r w:rsidR="009F178A" w:rsidRPr="002D3A56">
        <w:t>s</w:t>
      </w:r>
      <w:r>
        <w:t>ing</w:t>
      </w:r>
      <w:r w:rsidR="009F178A" w:rsidRPr="002D3A56">
        <w:t xml:space="preserve"> the same A-MPR value for each A-MPR region, channel bandwidth, and SCS</w:t>
      </w:r>
      <w:r>
        <w:t xml:space="preserve"> simplifies the A-MPR definition greatly</w:t>
      </w:r>
      <w:r w:rsidR="009F178A" w:rsidRPr="002D3A56">
        <w:t xml:space="preserve">. A-MPR </w:t>
      </w:r>
      <w:r w:rsidR="002C01B8">
        <w:t xml:space="preserve">is however defined </w:t>
      </w:r>
      <w:r w:rsidR="009F178A" w:rsidRPr="002D3A56">
        <w:t xml:space="preserve">separately for </w:t>
      </w:r>
      <w:r w:rsidR="00762F66" w:rsidRPr="002D3A56">
        <w:t>each combination of modulation and multiple access scheme</w:t>
      </w:r>
      <w:r w:rsidR="009F178A" w:rsidRPr="002D3A56">
        <w:t>.</w:t>
      </w:r>
    </w:p>
    <w:p w:rsidR="009F178A" w:rsidRPr="009F178A" w:rsidRDefault="009F178A" w:rsidP="009F178A">
      <w:pPr>
        <w:pStyle w:val="ListParagraph"/>
        <w:ind w:left="0"/>
        <w:rPr>
          <w:b/>
        </w:rPr>
      </w:pPr>
    </w:p>
    <w:p w:rsidR="009F178A" w:rsidRPr="00F455F0" w:rsidRDefault="009F178A" w:rsidP="00F455F0">
      <w:pPr>
        <w:rPr>
          <w:b/>
        </w:rPr>
      </w:pPr>
      <w:r w:rsidRPr="00F455F0">
        <w:rPr>
          <w:b/>
        </w:rPr>
        <w:t xml:space="preserve">Define </w:t>
      </w:r>
      <w:r w:rsidR="0096172B" w:rsidRPr="00F455F0">
        <w:rPr>
          <w:b/>
        </w:rPr>
        <w:t xml:space="preserve">the </w:t>
      </w:r>
      <w:r w:rsidRPr="00F455F0">
        <w:rPr>
          <w:b/>
        </w:rPr>
        <w:t>A-MPR as total back-off</w:t>
      </w:r>
      <w:r w:rsidR="00682526" w:rsidRPr="00F455F0">
        <w:rPr>
          <w:b/>
        </w:rPr>
        <w:t xml:space="preserve"> rather than </w:t>
      </w:r>
      <w:r w:rsidRPr="00F455F0">
        <w:rPr>
          <w:b/>
        </w:rPr>
        <w:t>add</w:t>
      </w:r>
      <w:r w:rsidR="00682526" w:rsidRPr="00F455F0">
        <w:rPr>
          <w:b/>
        </w:rPr>
        <w:t>itive</w:t>
      </w:r>
      <w:r w:rsidRPr="00F455F0">
        <w:rPr>
          <w:b/>
        </w:rPr>
        <w:t xml:space="preserve"> to the MPR.</w:t>
      </w:r>
    </w:p>
    <w:p w:rsidR="009F178A" w:rsidRPr="009F178A" w:rsidRDefault="009F178A" w:rsidP="009F178A">
      <w:pPr>
        <w:pStyle w:val="ListParagraph"/>
        <w:ind w:left="0"/>
      </w:pPr>
      <w:r w:rsidRPr="009F178A">
        <w:t xml:space="preserve">Additive </w:t>
      </w:r>
      <w:r>
        <w:t>A-MPR definition would cause unnecessary complexity or excessive back-off at the intersection of the outer region of the MPR definition and IMD3 region of the A-MPR definition.</w:t>
      </w:r>
      <w:r w:rsidR="00B61430">
        <w:t xml:space="preserve"> Therefore we propose to defined A-MPR as total backoff without MPR and use formula</w:t>
      </w:r>
      <w:r w:rsidR="00B61430" w:rsidRPr="00B61430">
        <w:rPr>
          <w:b/>
          <w:color w:val="000000"/>
          <w:lang w:val="en-US"/>
        </w:rPr>
        <w:t xml:space="preserve"> </w:t>
      </w:r>
      <w:r w:rsidR="00B61430" w:rsidRPr="00F455F0">
        <w:rPr>
          <w:color w:val="000000"/>
          <w:lang w:val="en-US"/>
        </w:rPr>
        <w:t>max(MPR, A-MPR) to determine the allowed power reduction</w:t>
      </w:r>
      <w:r w:rsidR="00B61430" w:rsidRPr="00F90378">
        <w:rPr>
          <w:b/>
          <w:color w:val="000000"/>
          <w:lang w:val="en-US"/>
        </w:rPr>
        <w:t>.</w:t>
      </w:r>
    </w:p>
    <w:p w:rsidR="009F178A" w:rsidRPr="009F178A" w:rsidRDefault="009F178A" w:rsidP="009F178A">
      <w:pPr>
        <w:pStyle w:val="ListParagraph"/>
        <w:ind w:left="0"/>
        <w:rPr>
          <w:b/>
        </w:rPr>
      </w:pPr>
    </w:p>
    <w:p w:rsidR="00AD6F6D" w:rsidRDefault="00182A4E" w:rsidP="00AD6F6D">
      <w:pPr>
        <w:keepNext/>
        <w:jc w:val="center"/>
      </w:pPr>
      <w:r w:rsidRPr="00182A4E">
        <w:rPr>
          <w:noProof/>
        </w:rPr>
        <w:lastRenderedPageBreak/>
        <w:drawing>
          <wp:inline distT="0" distB="0" distL="0" distR="0">
            <wp:extent cx="4978800" cy="3733200"/>
            <wp:effectExtent l="0" t="0" r="0" b="63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37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F6D" w:rsidRPr="00AD6F6D" w:rsidRDefault="00AD6F6D" w:rsidP="00F9549C">
      <w:pPr>
        <w:pStyle w:val="Caption"/>
      </w:pPr>
      <w:bookmarkStart w:id="6" w:name="_Ref509419240"/>
      <w:bookmarkStart w:id="7" w:name="_Ref509419235"/>
      <w:r w:rsidRPr="00AD6F6D">
        <w:t xml:space="preserve">Figure </w:t>
      </w:r>
      <w:r w:rsidRPr="00AD6F6D">
        <w:fldChar w:fldCharType="begin"/>
      </w:r>
      <w:r w:rsidRPr="00AD6F6D">
        <w:instrText xml:space="preserve"> SEQ Figure \* ARABIC </w:instrText>
      </w:r>
      <w:r w:rsidRPr="00AD6F6D">
        <w:fldChar w:fldCharType="separate"/>
      </w:r>
      <w:r w:rsidR="0002515F">
        <w:rPr>
          <w:noProof/>
        </w:rPr>
        <w:t>5</w:t>
      </w:r>
      <w:r w:rsidRPr="00AD6F6D">
        <w:fldChar w:fldCharType="end"/>
      </w:r>
      <w:bookmarkEnd w:id="6"/>
      <w:r w:rsidRPr="00AD6F6D">
        <w:t>. Maximum RB</w:t>
      </w:r>
      <w:r w:rsidRPr="00EE4E4C">
        <w:rPr>
          <w:vertAlign w:val="subscript"/>
        </w:rPr>
        <w:t>start</w:t>
      </w:r>
      <w:r w:rsidRPr="00AD6F6D">
        <w:t xml:space="preserve"> of the IMD3 region</w:t>
      </w:r>
      <w:bookmarkEnd w:id="7"/>
    </w:p>
    <w:p w:rsidR="00AD6F6D" w:rsidRDefault="00AD6F6D" w:rsidP="00AD6F6D">
      <w:pPr>
        <w:keepNext/>
        <w:jc w:val="center"/>
      </w:pPr>
      <w:r w:rsidRPr="00F54DAD">
        <w:rPr>
          <w:noProof/>
        </w:rPr>
        <w:drawing>
          <wp:inline distT="0" distB="0" distL="0" distR="0" wp14:anchorId="5FAA4B65" wp14:editId="231B48B8">
            <wp:extent cx="4978800" cy="373320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37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98F" w:rsidRPr="00EB398F" w:rsidRDefault="00AD6F6D" w:rsidP="00EB398F">
      <w:pPr>
        <w:pStyle w:val="Caption"/>
      </w:pPr>
      <w:r w:rsidRPr="00AD6F6D">
        <w:t xml:space="preserve">Figure </w:t>
      </w:r>
      <w:r w:rsidRPr="00AD6F6D">
        <w:fldChar w:fldCharType="begin"/>
      </w:r>
      <w:r w:rsidRPr="00AD6F6D">
        <w:instrText xml:space="preserve"> SEQ Figure \* ARABIC </w:instrText>
      </w:r>
      <w:r w:rsidRPr="00AD6F6D">
        <w:fldChar w:fldCharType="separate"/>
      </w:r>
      <w:r w:rsidR="0002515F">
        <w:rPr>
          <w:noProof/>
        </w:rPr>
        <w:t>6</w:t>
      </w:r>
      <w:r w:rsidRPr="00AD6F6D">
        <w:fldChar w:fldCharType="end"/>
      </w:r>
      <w:r w:rsidRPr="00AD6F6D">
        <w:t>. Maximum L</w:t>
      </w:r>
      <w:r w:rsidRPr="001A0126">
        <w:rPr>
          <w:vertAlign w:val="subscript"/>
        </w:rPr>
        <w:t>CRB</w:t>
      </w:r>
      <w:r w:rsidRPr="00AD6F6D">
        <w:t xml:space="preserve"> of the IMD3 region</w:t>
      </w:r>
    </w:p>
    <w:p w:rsidR="00715066" w:rsidRDefault="00715066" w:rsidP="00715066">
      <w:pPr>
        <w:keepNext/>
        <w:jc w:val="center"/>
      </w:pPr>
      <w:r w:rsidRPr="00715066">
        <w:rPr>
          <w:noProof/>
        </w:rPr>
        <w:lastRenderedPageBreak/>
        <w:drawing>
          <wp:inline distT="0" distB="0" distL="0" distR="0">
            <wp:extent cx="4978800" cy="3733200"/>
            <wp:effectExtent l="0" t="0" r="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37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066" w:rsidRDefault="00715066" w:rsidP="0071506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7</w:t>
      </w:r>
      <w:r>
        <w:fldChar w:fldCharType="end"/>
      </w:r>
      <w:r>
        <w:t>. Maximum frequency offset</w:t>
      </w:r>
      <w:r w:rsidR="0058176A" w:rsidRPr="0058176A">
        <w:t xml:space="preserve"> </w:t>
      </w:r>
      <w:r w:rsidR="0058176A" w:rsidRPr="008C4722">
        <w:rPr>
          <w:color w:val="000000"/>
          <w:sz w:val="22"/>
          <w:szCs w:val="22"/>
          <w:lang w:val="en-US"/>
        </w:rPr>
        <w:t>offset</w:t>
      </w:r>
      <w:r w:rsidR="0058176A" w:rsidRPr="008C4722">
        <w:rPr>
          <w:color w:val="000000"/>
          <w:sz w:val="22"/>
          <w:szCs w:val="22"/>
          <w:vertAlign w:val="subscript"/>
          <w:lang w:val="en-US"/>
        </w:rPr>
        <w:t>max,IMD3</w:t>
      </w:r>
      <w:r w:rsidRPr="0058176A">
        <w:t xml:space="preserve"> </w:t>
      </w:r>
      <w:r>
        <w:t>between lower band edge and lower channel edge.</w:t>
      </w:r>
    </w:p>
    <w:p w:rsidR="0090649F" w:rsidRDefault="00C7768C" w:rsidP="0090649F">
      <w:pPr>
        <w:keepNext/>
        <w:jc w:val="center"/>
      </w:pPr>
      <w:r w:rsidRPr="00C7768C">
        <w:rPr>
          <w:noProof/>
        </w:rPr>
        <w:drawing>
          <wp:inline distT="0" distB="0" distL="0" distR="0">
            <wp:extent cx="4982400" cy="3747600"/>
            <wp:effectExtent l="0" t="0" r="889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400" cy="374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9F" w:rsidRPr="0090649F" w:rsidRDefault="0090649F" w:rsidP="0090649F">
      <w:pPr>
        <w:pStyle w:val="Caption"/>
      </w:pPr>
      <w:bookmarkStart w:id="8" w:name="_Ref5094527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8</w:t>
      </w:r>
      <w:r>
        <w:fldChar w:fldCharType="end"/>
      </w:r>
      <w:bookmarkEnd w:id="8"/>
      <w:r>
        <w:t xml:space="preserve">. Required frequency offset to avoid A-MPR in the IMD3 region; simulated vs. </w:t>
      </w:r>
      <w:r w:rsidR="00195DAC">
        <w:t>proposed</w:t>
      </w:r>
    </w:p>
    <w:p w:rsidR="00AD6F6D" w:rsidRDefault="00AD6F6D" w:rsidP="00AD6F6D">
      <w:pPr>
        <w:keepNext/>
        <w:jc w:val="center"/>
      </w:pPr>
      <w:r w:rsidRPr="00F54DAD">
        <w:rPr>
          <w:noProof/>
        </w:rPr>
        <w:lastRenderedPageBreak/>
        <w:drawing>
          <wp:inline distT="0" distB="0" distL="0" distR="0" wp14:anchorId="68C18B51" wp14:editId="640A7F69">
            <wp:extent cx="4978800" cy="3733200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37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F6D" w:rsidRDefault="00AD6F6D" w:rsidP="00F9549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9</w:t>
      </w:r>
      <w:r>
        <w:fldChar w:fldCharType="end"/>
      </w:r>
      <w:r>
        <w:t xml:space="preserve">. </w:t>
      </w:r>
      <w:r>
        <w:sym w:font="Symbol" w:char="F044"/>
      </w:r>
      <w:r w:rsidRPr="00AD6F6D">
        <w:rPr>
          <w:vertAlign w:val="subscript"/>
        </w:rPr>
        <w:t>start</w:t>
      </w:r>
      <w:r>
        <w:t xml:space="preserve"> for the regrowth region</w:t>
      </w:r>
    </w:p>
    <w:p w:rsidR="00AD6F6D" w:rsidRDefault="00AD6F6D" w:rsidP="00AD6F6D">
      <w:pPr>
        <w:keepNext/>
        <w:jc w:val="center"/>
      </w:pPr>
      <w:r w:rsidRPr="00F54DAD">
        <w:rPr>
          <w:noProof/>
        </w:rPr>
        <w:drawing>
          <wp:inline distT="0" distB="0" distL="0" distR="0" wp14:anchorId="01C6C8F3" wp14:editId="4217B1AC">
            <wp:extent cx="4978800" cy="37332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37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F6D" w:rsidRDefault="00AD6F6D" w:rsidP="00F9549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10</w:t>
      </w:r>
      <w:r>
        <w:fldChar w:fldCharType="end"/>
      </w:r>
      <w:r>
        <w:t xml:space="preserve">. Maximum </w:t>
      </w:r>
      <w:r w:rsidR="004D3031">
        <w:t>L</w:t>
      </w:r>
      <w:r w:rsidR="004D3031" w:rsidRPr="004D3031">
        <w:rPr>
          <w:vertAlign w:val="subscript"/>
        </w:rPr>
        <w:t>CRB</w:t>
      </w:r>
      <w:r>
        <w:t xml:space="preserve"> of the regrowth region</w:t>
      </w:r>
    </w:p>
    <w:p w:rsidR="00E819A2" w:rsidRDefault="00E819A2" w:rsidP="009277C9">
      <w:pPr>
        <w:keepNext/>
        <w:jc w:val="center"/>
      </w:pPr>
      <w:r w:rsidRPr="00E819A2">
        <w:rPr>
          <w:noProof/>
        </w:rPr>
        <w:lastRenderedPageBreak/>
        <w:drawing>
          <wp:inline distT="0" distB="0" distL="0" distR="0">
            <wp:extent cx="4978800" cy="3733200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800" cy="37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F6D" w:rsidRDefault="00E819A2" w:rsidP="00E819A2">
      <w:pPr>
        <w:pStyle w:val="Caption"/>
      </w:pPr>
      <w:bookmarkStart w:id="9" w:name="_Ref5094193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15F">
        <w:rPr>
          <w:noProof/>
        </w:rPr>
        <w:t>11</w:t>
      </w:r>
      <w:r>
        <w:fldChar w:fldCharType="end"/>
      </w:r>
      <w:bookmarkEnd w:id="9"/>
      <w:r>
        <w:t>. Frequency offset required to avoid A-MPR in the regrowth region</w:t>
      </w:r>
    </w:p>
    <w:p w:rsidR="00CC176E" w:rsidRPr="00CC176E" w:rsidRDefault="00CC176E" w:rsidP="00CC176E"/>
    <w:p w:rsidR="00B4385F" w:rsidRDefault="003F7856" w:rsidP="00B4385F">
      <w:pPr>
        <w:pStyle w:val="Heading2"/>
      </w:pPr>
      <w:r>
        <w:t>2.3</w:t>
      </w:r>
      <w:r w:rsidR="00B4385F">
        <w:tab/>
      </w:r>
      <w:r w:rsidR="00AD6F6D">
        <w:t>Proposed rule for A-MPR and frequency offset</w:t>
      </w:r>
    </w:p>
    <w:p w:rsidR="00832279" w:rsidRDefault="00832279" w:rsidP="00AD6F6D">
      <w:r>
        <w:t>The proposed A-MPR rule can be summarized as:</w:t>
      </w:r>
    </w:p>
    <w:p w:rsidR="00AD6F6D" w:rsidRDefault="00832279" w:rsidP="00AD6F6D">
      <w:r>
        <w:t>If allocation is within the IMD3 region</w:t>
      </w:r>
      <w:r>
        <w:br/>
        <w:t>and frequency offset is insufficient,</w:t>
      </w:r>
      <w:r>
        <w:br/>
        <w:t>then</w:t>
      </w:r>
    </w:p>
    <w:p w:rsidR="00832279" w:rsidRDefault="00832279" w:rsidP="00AD6F6D">
      <w:r>
        <w:tab/>
        <w:t xml:space="preserve">apply </w:t>
      </w:r>
      <w:r w:rsidR="00437328">
        <w:t>A-MPR</w:t>
      </w:r>
      <w:r w:rsidR="00D235E1">
        <w:t>,</w:t>
      </w:r>
    </w:p>
    <w:p w:rsidR="00832279" w:rsidRDefault="00832279" w:rsidP="00832279">
      <w:r>
        <w:t>else, if allocation is within the regrowth region</w:t>
      </w:r>
      <w:r>
        <w:br/>
        <w:t>and frequency offset is insufficient,</w:t>
      </w:r>
      <w:r>
        <w:br/>
        <w:t>then</w:t>
      </w:r>
    </w:p>
    <w:p w:rsidR="00832279" w:rsidRDefault="00832279" w:rsidP="00832279">
      <w:r>
        <w:tab/>
        <w:t xml:space="preserve">apply </w:t>
      </w:r>
      <w:r w:rsidR="00437328">
        <w:t>A-MPR</w:t>
      </w:r>
      <w:r>
        <w:t>,</w:t>
      </w:r>
    </w:p>
    <w:p w:rsidR="00832279" w:rsidRDefault="00832279" w:rsidP="00AD6F6D">
      <w:r>
        <w:t>else,</w:t>
      </w:r>
    </w:p>
    <w:p w:rsidR="00832279" w:rsidRDefault="00832279" w:rsidP="00AD6F6D">
      <w:r>
        <w:tab/>
        <w:t xml:space="preserve">apply </w:t>
      </w:r>
      <w:r w:rsidR="00C84BCF">
        <w:t>MPR</w:t>
      </w:r>
      <w:r>
        <w:t>.</w:t>
      </w:r>
    </w:p>
    <w:p w:rsidR="00BF7306" w:rsidRDefault="00BF7306" w:rsidP="00AD6F6D"/>
    <w:p w:rsidR="00FF6E25" w:rsidRDefault="005E78F8" w:rsidP="00AD6F6D">
      <w:r>
        <w:t>This results in the following A-MPR rule:</w:t>
      </w:r>
    </w:p>
    <w:p w:rsidR="00FF6E25" w:rsidRDefault="00FF6E25" w:rsidP="00AD6F6D"/>
    <w:p w:rsidR="0048611C" w:rsidRPr="00F90378" w:rsidRDefault="00FF6E25" w:rsidP="00700FF4">
      <w:pPr>
        <w:keepNext/>
        <w:keepLines/>
      </w:pPr>
      <w:r w:rsidRPr="00F90378">
        <w:rPr>
          <w:b/>
        </w:rPr>
        <w:lastRenderedPageBreak/>
        <w:t xml:space="preserve">Proposal: </w:t>
      </w:r>
      <w:r w:rsidR="005D2AB3" w:rsidRPr="00F90378">
        <w:rPr>
          <w:b/>
          <w:color w:val="000000"/>
          <w:lang w:val="en-US"/>
        </w:rPr>
        <w:t xml:space="preserve">The </w:t>
      </w:r>
      <w:r w:rsidR="00355174">
        <w:rPr>
          <w:b/>
          <w:color w:val="000000"/>
          <w:lang w:val="en-US"/>
        </w:rPr>
        <w:t xml:space="preserve">back-off is defined as max(MPR, </w:t>
      </w:r>
      <w:r w:rsidR="005D2AB3" w:rsidRPr="00F90378">
        <w:rPr>
          <w:b/>
          <w:color w:val="000000"/>
          <w:lang w:val="en-US"/>
        </w:rPr>
        <w:t>A-MPR</w:t>
      </w:r>
      <w:r w:rsidR="00355174">
        <w:rPr>
          <w:b/>
          <w:color w:val="000000"/>
          <w:lang w:val="en-US"/>
        </w:rPr>
        <w:t>)</w:t>
      </w:r>
      <w:r w:rsidR="00AF7C47" w:rsidRPr="00F90378">
        <w:rPr>
          <w:b/>
          <w:color w:val="000000"/>
          <w:lang w:val="en-US"/>
        </w:rPr>
        <w:t>.</w:t>
      </w:r>
      <w:r w:rsidR="00825C4A" w:rsidRPr="00F90378">
        <w:br/>
      </w:r>
      <w:r w:rsidR="0098469E" w:rsidRPr="00F90378">
        <w:rPr>
          <w:b/>
        </w:rPr>
        <w:t xml:space="preserve">Given the parameters </w:t>
      </w:r>
      <w:r w:rsidR="00A0466C" w:rsidRPr="00F90378">
        <w:rPr>
          <w:b/>
        </w:rPr>
        <w:t xml:space="preserve">defined </w:t>
      </w:r>
      <w:r w:rsidR="0098469E" w:rsidRPr="00F90378">
        <w:rPr>
          <w:b/>
        </w:rPr>
        <w:t>in</w:t>
      </w:r>
      <w:r w:rsidR="002F0A17" w:rsidRPr="00F90378">
        <w:rPr>
          <w:b/>
        </w:rPr>
        <w:t xml:space="preserve"> </w:t>
      </w:r>
      <w:r w:rsidR="00AA64CE" w:rsidRPr="00F90378">
        <w:rPr>
          <w:b/>
        </w:rPr>
        <w:fldChar w:fldCharType="begin"/>
      </w:r>
      <w:r w:rsidR="00AA64CE" w:rsidRPr="00F90378">
        <w:rPr>
          <w:b/>
        </w:rPr>
        <w:instrText xml:space="preserve"> REF _Ref509480096 \h  \* MERGEFORMAT </w:instrText>
      </w:r>
      <w:r w:rsidR="00AA64CE" w:rsidRPr="00F90378">
        <w:rPr>
          <w:b/>
        </w:rPr>
      </w:r>
      <w:r w:rsidR="00AA64CE" w:rsidRPr="00F90378">
        <w:rPr>
          <w:b/>
        </w:rPr>
        <w:fldChar w:fldCharType="separate"/>
      </w:r>
      <w:r w:rsidR="00AA64CE" w:rsidRPr="00F90378">
        <w:rPr>
          <w:b/>
        </w:rPr>
        <w:t xml:space="preserve">Table </w:t>
      </w:r>
      <w:r w:rsidR="00AA64CE" w:rsidRPr="00F90378">
        <w:rPr>
          <w:b/>
          <w:noProof/>
        </w:rPr>
        <w:t>1</w:t>
      </w:r>
      <w:r w:rsidR="00AA64CE" w:rsidRPr="00F90378">
        <w:rPr>
          <w:b/>
        </w:rPr>
        <w:fldChar w:fldCharType="end"/>
      </w:r>
      <w:r w:rsidR="0098469E" w:rsidRPr="00F90378">
        <w:rPr>
          <w:b/>
        </w:rPr>
        <w:t xml:space="preserve"> </w:t>
      </w:r>
      <w:r w:rsidR="00546D15" w:rsidRPr="00F90378">
        <w:rPr>
          <w:b/>
        </w:rPr>
        <w:t xml:space="preserve">and </w:t>
      </w:r>
      <w:r w:rsidR="000478CA" w:rsidRPr="00F90378">
        <w:rPr>
          <w:b/>
        </w:rPr>
        <w:t xml:space="preserve">symbol definitions in </w:t>
      </w:r>
      <w:r w:rsidR="002F0A17" w:rsidRPr="00F90378">
        <w:rPr>
          <w:b/>
        </w:rPr>
        <w:fldChar w:fldCharType="begin"/>
      </w:r>
      <w:r w:rsidR="002F0A17" w:rsidRPr="00F90378">
        <w:rPr>
          <w:b/>
        </w:rPr>
        <w:instrText xml:space="preserve"> REF _Ref509450514 \h  \* MERGEFORMAT </w:instrText>
      </w:r>
      <w:r w:rsidR="002F0A17" w:rsidRPr="00F90378">
        <w:rPr>
          <w:b/>
        </w:rPr>
      </w:r>
      <w:r w:rsidR="002F0A17" w:rsidRPr="00F90378">
        <w:rPr>
          <w:b/>
        </w:rPr>
        <w:fldChar w:fldCharType="separate"/>
      </w:r>
      <w:r w:rsidR="0002515F" w:rsidRPr="00F90378">
        <w:rPr>
          <w:b/>
        </w:rPr>
        <w:t>Table</w:t>
      </w:r>
      <w:r w:rsidR="0002515F" w:rsidRPr="00F90378">
        <w:rPr>
          <w:b/>
          <w:noProof/>
        </w:rPr>
        <w:t xml:space="preserve"> </w:t>
      </w:r>
      <w:r w:rsidR="0002515F" w:rsidRPr="00F90378">
        <w:rPr>
          <w:b/>
          <w:i/>
          <w:noProof/>
        </w:rPr>
        <w:t>2</w:t>
      </w:r>
      <w:r w:rsidR="002F0A17" w:rsidRPr="00F90378">
        <w:rPr>
          <w:b/>
        </w:rPr>
        <w:fldChar w:fldCharType="end"/>
      </w:r>
      <w:r w:rsidR="002F0A17" w:rsidRPr="00F90378">
        <w:rPr>
          <w:b/>
        </w:rPr>
        <w:t>,</w:t>
      </w:r>
      <w:r w:rsidR="00C17E6B" w:rsidRPr="00F90378">
        <w:rPr>
          <w:b/>
        </w:rPr>
        <w:br/>
      </w:r>
      <w:r w:rsidR="0098469E" w:rsidRPr="00F90378">
        <w:rPr>
          <w:b/>
        </w:rPr>
        <w:br/>
        <w:t xml:space="preserve">if </w:t>
      </w:r>
      <w:r w:rsidR="0098469E" w:rsidRPr="00F90378">
        <w:rPr>
          <w:b/>
          <w:color w:val="000000"/>
          <w:lang w:val="en-US"/>
        </w:rPr>
        <w:t>RB</w:t>
      </w:r>
      <w:r w:rsidR="0098469E" w:rsidRPr="00F90378">
        <w:rPr>
          <w:b/>
          <w:color w:val="000000"/>
          <w:vertAlign w:val="subscript"/>
          <w:lang w:val="en-US"/>
        </w:rPr>
        <w:t>start</w:t>
      </w:r>
      <w:r w:rsidR="0098469E" w:rsidRPr="00F90378">
        <w:rPr>
          <w:b/>
          <w:color w:val="000000"/>
          <w:lang w:val="en-US"/>
        </w:rPr>
        <w:t xml:space="preserve"> ≤ f</w:t>
      </w:r>
      <w:r w:rsidR="0098469E" w:rsidRPr="00F90378">
        <w:rPr>
          <w:b/>
          <w:color w:val="000000"/>
          <w:vertAlign w:val="subscript"/>
          <w:lang w:val="en-US"/>
        </w:rPr>
        <w:t>start,max,IMD3</w:t>
      </w:r>
      <w:r w:rsidR="0098469E"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="0098469E" w:rsidRPr="00F90378">
        <w:rPr>
          <w:b/>
          <w:color w:val="000000"/>
          <w:lang w:val="en-US"/>
        </w:rPr>
        <w:t>SCS)</w:t>
      </w:r>
      <w:r w:rsidR="0098469E" w:rsidRPr="00F90378">
        <w:rPr>
          <w:b/>
          <w:color w:val="000000"/>
          <w:lang w:val="en-US"/>
        </w:rPr>
        <w:br/>
        <w:t>and L</w:t>
      </w:r>
      <w:r w:rsidR="0098469E" w:rsidRPr="00F90378">
        <w:rPr>
          <w:b/>
          <w:color w:val="000000"/>
          <w:vertAlign w:val="subscript"/>
          <w:lang w:val="en-US"/>
        </w:rPr>
        <w:t>CRB</w:t>
      </w:r>
      <w:r w:rsidR="0098469E" w:rsidRPr="00F90378">
        <w:rPr>
          <w:b/>
          <w:color w:val="000000"/>
          <w:lang w:val="en-US"/>
        </w:rPr>
        <w:t xml:space="preserve"> ≤ AW</w:t>
      </w:r>
      <w:r w:rsidR="0098469E" w:rsidRPr="00F90378">
        <w:rPr>
          <w:b/>
          <w:color w:val="000000"/>
          <w:vertAlign w:val="subscript"/>
          <w:lang w:val="en-US"/>
        </w:rPr>
        <w:t>max,IMD3</w:t>
      </w:r>
      <w:r w:rsidR="0098469E"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="0098469E" w:rsidRPr="00F90378">
        <w:rPr>
          <w:b/>
          <w:color w:val="000000"/>
          <w:lang w:val="en-US"/>
        </w:rPr>
        <w:t>SCS)</w:t>
      </w:r>
      <w:r w:rsidR="0098469E" w:rsidRPr="00F90378">
        <w:rPr>
          <w:b/>
        </w:rPr>
        <w:br/>
        <w:t xml:space="preserve">and </w:t>
      </w:r>
      <w:r w:rsidR="0098469E" w:rsidRPr="00F90378">
        <w:rPr>
          <w:b/>
          <w:color w:val="000000"/>
          <w:lang w:val="en-US"/>
        </w:rPr>
        <w:t>F</w:t>
      </w:r>
      <w:r w:rsidR="0098469E" w:rsidRPr="00F90378">
        <w:rPr>
          <w:b/>
          <w:color w:val="000000"/>
          <w:vertAlign w:val="subscript"/>
          <w:lang w:val="en-US"/>
        </w:rPr>
        <w:t>C</w:t>
      </w:r>
      <w:r w:rsidR="0098469E" w:rsidRPr="00F90378">
        <w:rPr>
          <w:b/>
          <w:color w:val="000000"/>
          <w:lang w:val="en-US"/>
        </w:rPr>
        <w:t xml:space="preserve"> - </w:t>
      </w:r>
      <w:r w:rsidR="0098469E" w:rsidRPr="00F90378">
        <w:rPr>
          <w:b/>
        </w:rPr>
        <w:t>BW</w:t>
      </w:r>
      <w:r w:rsidR="0098469E" w:rsidRPr="00F90378">
        <w:rPr>
          <w:b/>
          <w:vertAlign w:val="subscript"/>
        </w:rPr>
        <w:t>Channel</w:t>
      </w:r>
      <w:r w:rsidR="0098469E" w:rsidRPr="00F90378">
        <w:rPr>
          <w:b/>
          <w:color w:val="000000"/>
          <w:lang w:val="en-US"/>
        </w:rPr>
        <w:t>/2 &lt; F</w:t>
      </w:r>
      <w:r w:rsidR="0098469E" w:rsidRPr="00F90378">
        <w:rPr>
          <w:b/>
          <w:color w:val="000000"/>
          <w:vertAlign w:val="subscript"/>
          <w:lang w:val="en-US"/>
        </w:rPr>
        <w:t>UL_low</w:t>
      </w:r>
      <w:r w:rsidR="0098469E" w:rsidRPr="00F90378">
        <w:rPr>
          <w:b/>
          <w:color w:val="000000"/>
          <w:lang w:val="en-US"/>
        </w:rPr>
        <w:t xml:space="preserve"> + offset</w:t>
      </w:r>
      <w:r w:rsidR="0098469E" w:rsidRPr="00F90378">
        <w:rPr>
          <w:b/>
          <w:color w:val="000000"/>
          <w:vertAlign w:val="subscript"/>
          <w:lang w:val="en-US"/>
        </w:rPr>
        <w:t>IMD3</w:t>
      </w:r>
      <w:r w:rsidR="0098469E" w:rsidRPr="00F90378">
        <w:rPr>
          <w:b/>
          <w:color w:val="000000"/>
          <w:lang w:val="en-US"/>
        </w:rPr>
        <w:t>,</w:t>
      </w:r>
      <w:r w:rsidR="0098469E" w:rsidRPr="00F90378">
        <w:rPr>
          <w:b/>
          <w:color w:val="000000"/>
          <w:lang w:val="en-US"/>
        </w:rPr>
        <w:br/>
      </w:r>
      <w:r w:rsidR="0048611C" w:rsidRPr="00F90378">
        <w:rPr>
          <w:b/>
          <w:color w:val="000000"/>
          <w:lang w:val="en-US"/>
        </w:rPr>
        <w:t>then</w:t>
      </w:r>
    </w:p>
    <w:p w:rsidR="00C17E6B" w:rsidRPr="00F90378" w:rsidRDefault="00C17E6B" w:rsidP="00700FF4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</w:r>
      <w:r w:rsidR="00283400" w:rsidRPr="00F90378">
        <w:rPr>
          <w:b/>
          <w:color w:val="000000"/>
          <w:lang w:val="en-US"/>
        </w:rPr>
        <w:t xml:space="preserve">the </w:t>
      </w:r>
      <w:r w:rsidR="0082581E" w:rsidRPr="00F90378">
        <w:rPr>
          <w:b/>
          <w:color w:val="000000"/>
          <w:lang w:val="en-US"/>
        </w:rPr>
        <w:t xml:space="preserve">A-MPR </w:t>
      </w:r>
      <w:r w:rsidR="00EF551E" w:rsidRPr="00F90378">
        <w:rPr>
          <w:b/>
          <w:color w:val="000000"/>
          <w:lang w:val="en-US"/>
        </w:rPr>
        <w:t xml:space="preserve">is </w:t>
      </w:r>
      <w:r w:rsidR="00316C8F" w:rsidRPr="00F90378">
        <w:rPr>
          <w:b/>
          <w:color w:val="000000"/>
          <w:lang w:val="en-US"/>
        </w:rPr>
        <w:t xml:space="preserve">defined </w:t>
      </w:r>
      <w:r w:rsidR="00E60C9E">
        <w:rPr>
          <w:b/>
          <w:color w:val="000000"/>
          <w:lang w:val="en-US"/>
        </w:rPr>
        <w:t xml:space="preserve">according </w:t>
      </w:r>
      <w:r w:rsidR="00316C8F" w:rsidRPr="00F90378">
        <w:rPr>
          <w:b/>
          <w:color w:val="000000"/>
          <w:lang w:val="en-US"/>
        </w:rPr>
        <w:t>to</w:t>
      </w:r>
      <w:r w:rsidRPr="00F90378">
        <w:rPr>
          <w:b/>
          <w:color w:val="000000"/>
          <w:lang w:val="en-US"/>
        </w:rPr>
        <w:t xml:space="preserve"> </w:t>
      </w:r>
      <w:r w:rsidR="00C23D8D" w:rsidRPr="00F90378">
        <w:rPr>
          <w:b/>
          <w:color w:val="000000"/>
          <w:lang w:val="en-US"/>
        </w:rPr>
        <w:fldChar w:fldCharType="begin"/>
      </w:r>
      <w:r w:rsidR="00C23D8D" w:rsidRPr="00F90378">
        <w:rPr>
          <w:b/>
          <w:color w:val="000000"/>
          <w:lang w:val="en-US"/>
        </w:rPr>
        <w:instrText xml:space="preserve"> REF _Ref509451280 \h  \* MERGEFORMAT </w:instrText>
      </w:r>
      <w:r w:rsidR="00C23D8D" w:rsidRPr="00F90378">
        <w:rPr>
          <w:b/>
          <w:color w:val="000000"/>
          <w:lang w:val="en-US"/>
        </w:rPr>
      </w:r>
      <w:r w:rsidR="00C23D8D" w:rsidRPr="00F90378">
        <w:rPr>
          <w:b/>
          <w:color w:val="000000"/>
          <w:lang w:val="en-US"/>
        </w:rPr>
        <w:fldChar w:fldCharType="separate"/>
      </w:r>
      <w:r w:rsidR="0002515F" w:rsidRPr="00F90378">
        <w:rPr>
          <w:b/>
        </w:rPr>
        <w:t xml:space="preserve">Table </w:t>
      </w:r>
      <w:r w:rsidR="0002515F" w:rsidRPr="00F90378">
        <w:rPr>
          <w:b/>
          <w:noProof/>
        </w:rPr>
        <w:t>3</w:t>
      </w:r>
      <w:r w:rsidR="00C23D8D" w:rsidRPr="00F90378">
        <w:rPr>
          <w:b/>
          <w:color w:val="000000"/>
          <w:lang w:val="en-US"/>
        </w:rPr>
        <w:fldChar w:fldCharType="end"/>
      </w:r>
      <w:r w:rsidRPr="00F90378">
        <w:rPr>
          <w:b/>
          <w:color w:val="000000"/>
          <w:lang w:val="en-US"/>
        </w:rPr>
        <w:t>,</w:t>
      </w:r>
    </w:p>
    <w:p w:rsidR="00C17E6B" w:rsidRPr="00F90378" w:rsidRDefault="00C17E6B" w:rsidP="00700FF4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L</w:t>
      </w:r>
      <w:r w:rsidRPr="00F90378">
        <w:rPr>
          <w:b/>
          <w:color w:val="000000"/>
          <w:vertAlign w:val="subscript"/>
          <w:lang w:val="en-US"/>
        </w:rPr>
        <w:t>CRB</w:t>
      </w:r>
      <w:r w:rsidR="001B7339" w:rsidRPr="00F90378">
        <w:rPr>
          <w:b/>
          <w:color w:val="000000"/>
          <w:lang w:val="en-US"/>
        </w:rPr>
        <w:t>/2 +</w:t>
      </w:r>
      <w:r w:rsidR="001B7339"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 xml:space="preserve">/2 </w:t>
      </w:r>
      <w:r w:rsidR="00F702E4" w:rsidRPr="00F90378">
        <w:rPr>
          <w:b/>
          <w:color w:val="000000"/>
          <w:lang w:val="en-US"/>
        </w:rPr>
        <w:t>&lt;</w:t>
      </w:r>
      <w:r w:rsidRPr="00F90378">
        <w:rPr>
          <w:b/>
          <w:color w:val="000000"/>
          <w:lang w:val="en-US"/>
        </w:rPr>
        <w:t xml:space="preserve">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C17E6B" w:rsidRPr="00F90378" w:rsidRDefault="00C17E6B" w:rsidP="00700FF4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</w:r>
      <w:r w:rsidR="00283400" w:rsidRPr="00F90378">
        <w:rPr>
          <w:b/>
          <w:color w:val="000000"/>
          <w:lang w:val="en-US"/>
        </w:rPr>
        <w:t xml:space="preserve">the </w:t>
      </w:r>
      <w:r w:rsidR="0082581E" w:rsidRPr="00F90378">
        <w:rPr>
          <w:b/>
          <w:color w:val="000000"/>
          <w:lang w:val="en-US"/>
        </w:rPr>
        <w:t xml:space="preserve">A-MPR </w:t>
      </w:r>
      <w:r w:rsidR="00EF551E" w:rsidRPr="00F90378">
        <w:rPr>
          <w:b/>
          <w:color w:val="000000"/>
          <w:lang w:val="en-US"/>
        </w:rPr>
        <w:t xml:space="preserve">is </w:t>
      </w:r>
      <w:r w:rsidRPr="00F90378">
        <w:rPr>
          <w:b/>
          <w:color w:val="000000"/>
          <w:lang w:val="en-US"/>
        </w:rPr>
        <w:t xml:space="preserve">defined </w:t>
      </w:r>
      <w:r w:rsidR="00316C8F" w:rsidRPr="00F90378">
        <w:rPr>
          <w:b/>
          <w:color w:val="000000"/>
          <w:lang w:val="en-US"/>
        </w:rPr>
        <w:t>according to</w:t>
      </w:r>
      <w:r w:rsidRPr="00F90378">
        <w:rPr>
          <w:b/>
          <w:color w:val="000000"/>
          <w:lang w:val="en-US"/>
        </w:rPr>
        <w:t xml:space="preserve"> </w:t>
      </w:r>
      <w:r w:rsidR="00C23D8D" w:rsidRPr="00F90378">
        <w:rPr>
          <w:b/>
          <w:color w:val="000000"/>
          <w:lang w:val="en-US"/>
        </w:rPr>
        <w:fldChar w:fldCharType="begin"/>
      </w:r>
      <w:r w:rsidR="00C23D8D" w:rsidRPr="00F90378">
        <w:rPr>
          <w:b/>
          <w:color w:val="000000"/>
          <w:lang w:val="en-US"/>
        </w:rPr>
        <w:instrText xml:space="preserve"> REF _Ref509451280 \h  \* MERGEFORMAT </w:instrText>
      </w:r>
      <w:r w:rsidR="00C23D8D" w:rsidRPr="00F90378">
        <w:rPr>
          <w:b/>
          <w:color w:val="000000"/>
          <w:lang w:val="en-US"/>
        </w:rPr>
      </w:r>
      <w:r w:rsidR="00C23D8D" w:rsidRPr="00F90378">
        <w:rPr>
          <w:b/>
          <w:color w:val="000000"/>
          <w:lang w:val="en-US"/>
        </w:rPr>
        <w:fldChar w:fldCharType="separate"/>
      </w:r>
      <w:r w:rsidR="0002515F" w:rsidRPr="00F90378">
        <w:rPr>
          <w:b/>
        </w:rPr>
        <w:t xml:space="preserve">Table </w:t>
      </w:r>
      <w:r w:rsidR="0002515F" w:rsidRPr="00F90378">
        <w:rPr>
          <w:b/>
          <w:noProof/>
        </w:rPr>
        <w:t>3</w:t>
      </w:r>
      <w:r w:rsidR="00C23D8D" w:rsidRPr="00F90378">
        <w:rPr>
          <w:b/>
          <w:color w:val="000000"/>
          <w:lang w:val="en-US"/>
        </w:rPr>
        <w:fldChar w:fldCharType="end"/>
      </w:r>
      <w:r w:rsidRPr="00F90378">
        <w:rPr>
          <w:b/>
          <w:color w:val="000000"/>
          <w:lang w:val="en-US"/>
        </w:rPr>
        <w:t>,</w:t>
      </w:r>
    </w:p>
    <w:p w:rsidR="00C17E6B" w:rsidRPr="00F90378" w:rsidRDefault="00C17E6B" w:rsidP="00700FF4">
      <w:pPr>
        <w:keepNext/>
        <w:keepLines/>
        <w:rPr>
          <w:b/>
        </w:rPr>
      </w:pPr>
      <w:r w:rsidRPr="00F90378">
        <w:rPr>
          <w:b/>
        </w:rPr>
        <w:t>else,</w:t>
      </w:r>
    </w:p>
    <w:p w:rsidR="00132697" w:rsidRPr="00F90378" w:rsidRDefault="00C17E6B" w:rsidP="00700FF4">
      <w:pPr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 w:rsidR="002A7233">
        <w:rPr>
          <w:b/>
          <w:color w:val="000000"/>
          <w:lang w:val="en-US"/>
        </w:rPr>
        <w:t>A-MPR = 0.</w:t>
      </w:r>
    </w:p>
    <w:p w:rsidR="00132697" w:rsidRDefault="00132697" w:rsidP="00132697">
      <w:pPr>
        <w:pStyle w:val="Caption"/>
        <w:keepNext/>
      </w:pPr>
      <w:bookmarkStart w:id="10" w:name="_Ref5094800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515F">
        <w:rPr>
          <w:noProof/>
        </w:rPr>
        <w:t>1</w:t>
      </w:r>
      <w:r>
        <w:fldChar w:fldCharType="end"/>
      </w:r>
      <w:bookmarkEnd w:id="10"/>
      <w:r>
        <w:t>. Parameters for region edges and frequency offsets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1565"/>
        <w:gridCol w:w="1696"/>
        <w:gridCol w:w="1842"/>
        <w:gridCol w:w="3686"/>
      </w:tblGrid>
      <w:tr w:rsidR="00132697" w:rsidRPr="005E24EC" w:rsidTr="00781C76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Symbol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Related 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ondition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OFDM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DFT-S-OFDM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32697" w:rsidRPr="005E24EC" w:rsidTr="00781C76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</w:t>
            </w:r>
            <w:r w:rsidR="00E5113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start</w:t>
            </w:r>
            <w:r w:rsidR="00D66D8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0.33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</w:t>
            </w:r>
            <w:r w:rsidR="00070E5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Max freq. offset </w:t>
            </w:r>
            <w:r w:rsidR="00A3256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for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- 6MHz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 w:rsidR="007911F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Symbol" w:hAnsi="Symbol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</w:t>
            </w:r>
            <w:r w:rsidR="00517E8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</w:t>
            </w:r>
            <w:r w:rsidRPr="0050598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sym w:font="Symbol" w:char="F0D7"/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12SCS</w:t>
            </w:r>
            <w:r w:rsidRPr="0050598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sym w:font="Symbol" w:char="F0D7"/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3049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Right edge of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0.02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0.08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="0003439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+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4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61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before="240"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 w:rsidR="007A525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="007A525C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1C71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</w:tr>
    </w:tbl>
    <w:p w:rsidR="00F85306" w:rsidRDefault="00F85306" w:rsidP="00915C6A">
      <w:pPr>
        <w:jc w:val="center"/>
      </w:pPr>
      <w:bookmarkStart w:id="11" w:name="_Ref509450514"/>
    </w:p>
    <w:p w:rsidR="003C4E71" w:rsidRPr="008A41DE" w:rsidRDefault="003C4E71" w:rsidP="00CF7F3F">
      <w:pPr>
        <w:keepNext/>
        <w:jc w:val="center"/>
        <w:rPr>
          <w:i/>
        </w:rPr>
      </w:pPr>
      <w:r w:rsidRPr="008A41DE">
        <w:rPr>
          <w:i/>
        </w:rPr>
        <w:lastRenderedPageBreak/>
        <w:t xml:space="preserve">Table </w:t>
      </w:r>
      <w:r w:rsidRPr="008A41DE">
        <w:rPr>
          <w:i/>
        </w:rPr>
        <w:fldChar w:fldCharType="begin"/>
      </w:r>
      <w:r w:rsidRPr="008A41DE">
        <w:rPr>
          <w:i/>
        </w:rPr>
        <w:instrText xml:space="preserve"> SEQ Table \* ARABIC </w:instrText>
      </w:r>
      <w:r w:rsidRPr="008A41DE">
        <w:rPr>
          <w:i/>
        </w:rPr>
        <w:fldChar w:fldCharType="separate"/>
      </w:r>
      <w:r w:rsidR="0002515F">
        <w:rPr>
          <w:i/>
          <w:noProof/>
        </w:rPr>
        <w:t>2</w:t>
      </w:r>
      <w:r w:rsidRPr="008A41DE">
        <w:rPr>
          <w:i/>
        </w:rPr>
        <w:fldChar w:fldCharType="end"/>
      </w:r>
      <w:bookmarkEnd w:id="11"/>
      <w:r w:rsidRPr="008A41DE">
        <w:rPr>
          <w:i/>
        </w:rPr>
        <w:t>. Symbols adopted from 38.101 and 36.101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946"/>
      </w:tblGrid>
      <w:tr w:rsidR="00C22A93" w:rsidTr="00FB0191">
        <w:trPr>
          <w:jc w:val="center"/>
        </w:trPr>
        <w:tc>
          <w:tcPr>
            <w:tcW w:w="1129" w:type="dxa"/>
          </w:tcPr>
          <w:p w:rsidR="00C22A93" w:rsidRPr="00FB0191" w:rsidRDefault="00C22A93" w:rsidP="00375C83">
            <w:pPr>
              <w:keepNext/>
              <w:keepLines/>
              <w:tabs>
                <w:tab w:val="left" w:pos="1589"/>
              </w:tabs>
              <w:rPr>
                <w:b/>
              </w:rPr>
            </w:pPr>
            <w:r w:rsidRPr="00FB0191">
              <w:rPr>
                <w:b/>
              </w:rPr>
              <w:t>Symbol</w:t>
            </w:r>
          </w:p>
        </w:tc>
        <w:tc>
          <w:tcPr>
            <w:tcW w:w="6946" w:type="dxa"/>
          </w:tcPr>
          <w:p w:rsidR="00C22A93" w:rsidRPr="00FB0191" w:rsidRDefault="00C22A93" w:rsidP="00375C83">
            <w:pPr>
              <w:keepNext/>
              <w:keepLines/>
              <w:rPr>
                <w:b/>
              </w:rPr>
            </w:pPr>
            <w:r w:rsidRPr="00FB0191">
              <w:rPr>
                <w:b/>
              </w:rPr>
              <w:t>Definition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t>BW</w:t>
            </w:r>
            <w:r w:rsidRPr="009C7F88">
              <w:rPr>
                <w:vertAlign w:val="subscript"/>
              </w:rPr>
              <w:t>Channel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Channel bandwidth</w:t>
            </w:r>
          </w:p>
        </w:tc>
      </w:tr>
      <w:tr w:rsidR="00C622F4" w:rsidTr="00FB0191">
        <w:trPr>
          <w:jc w:val="center"/>
        </w:trPr>
        <w:tc>
          <w:tcPr>
            <w:tcW w:w="1129" w:type="dxa"/>
          </w:tcPr>
          <w:p w:rsidR="00C622F4" w:rsidRDefault="00C622F4" w:rsidP="00375C83">
            <w:pPr>
              <w:keepNext/>
              <w:keepLines/>
            </w:pPr>
            <w:r>
              <w:t>F</w:t>
            </w:r>
            <w:r w:rsidRPr="00C622F4">
              <w:rPr>
                <w:vertAlign w:val="subscript"/>
              </w:rPr>
              <w:t>C</w:t>
            </w:r>
          </w:p>
        </w:tc>
        <w:tc>
          <w:tcPr>
            <w:tcW w:w="6946" w:type="dxa"/>
          </w:tcPr>
          <w:p w:rsidR="00C622F4" w:rsidRDefault="00C622F4" w:rsidP="00375C83">
            <w:pPr>
              <w:keepNext/>
              <w:keepLines/>
            </w:pPr>
            <w:r>
              <w:t>Centre frequency of channel</w:t>
            </w:r>
          </w:p>
        </w:tc>
      </w:tr>
      <w:tr w:rsidR="00FC36D1" w:rsidTr="00FB0191">
        <w:trPr>
          <w:jc w:val="center"/>
        </w:trPr>
        <w:tc>
          <w:tcPr>
            <w:tcW w:w="1129" w:type="dxa"/>
          </w:tcPr>
          <w:p w:rsidR="00FC36D1" w:rsidRDefault="00FC36D1" w:rsidP="00375C83">
            <w:pPr>
              <w:keepNext/>
              <w:keepLines/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</w:p>
        </w:tc>
        <w:tc>
          <w:tcPr>
            <w:tcW w:w="6946" w:type="dxa"/>
          </w:tcPr>
          <w:p w:rsidR="00FC36D1" w:rsidRDefault="00FC36D1" w:rsidP="00375C83">
            <w:pPr>
              <w:keepNext/>
              <w:keepLines/>
            </w:pPr>
            <w:r>
              <w:t>The lower edge frequency of the uplink operating band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>
              <w:t>SCS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Subcarrier spacing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Index of lowest allocated resource block; RB</w:t>
            </w:r>
            <w:r w:rsidRPr="00C22A93">
              <w:rPr>
                <w:vertAlign w:val="subscript"/>
              </w:rPr>
              <w:t>start</w:t>
            </w:r>
            <w:r>
              <w:t>=0 is the lowest RB in the channel.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</w:p>
        </w:tc>
        <w:tc>
          <w:tcPr>
            <w:tcW w:w="6946" w:type="dxa"/>
          </w:tcPr>
          <w:p w:rsidR="00C22A93" w:rsidRDefault="0067101F" w:rsidP="00375C83">
            <w:pPr>
              <w:keepNext/>
              <w:keepLines/>
            </w:pPr>
            <w:r>
              <w:t>Number of contiguously allocated resource blocks</w:t>
            </w:r>
          </w:p>
        </w:tc>
      </w:tr>
    </w:tbl>
    <w:p w:rsidR="00B4385F" w:rsidRDefault="00B4385F" w:rsidP="00B4385F"/>
    <w:p w:rsidR="00C23D8D" w:rsidRDefault="00C23D8D" w:rsidP="00C23D8D">
      <w:pPr>
        <w:pStyle w:val="Caption"/>
        <w:keepNext/>
      </w:pPr>
      <w:bookmarkStart w:id="12" w:name="_Ref5094512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515F">
        <w:rPr>
          <w:noProof/>
        </w:rPr>
        <w:t>3</w:t>
      </w:r>
      <w:r>
        <w:fldChar w:fldCharType="end"/>
      </w:r>
      <w:bookmarkEnd w:id="12"/>
      <w:r>
        <w:t>. A-MPR values</w:t>
      </w:r>
    </w:p>
    <w:tbl>
      <w:tblPr>
        <w:tblW w:w="4330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483"/>
      </w:tblGrid>
      <w:tr w:rsidR="00C23D8D" w:rsidRPr="005E24EC" w:rsidTr="00C70221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C62184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 w:rsidRPr="00C62184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Access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C62184" w:rsidRDefault="00C23D8D" w:rsidP="00951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 w:rsidRPr="00C62184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C62184" w:rsidRDefault="00C84BCF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A-MPR</w:t>
            </w:r>
            <w:r w:rsidR="00B12883" w:rsidRPr="00C62184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pi/2-BPSK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1.5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2.5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C23D8D" w:rsidRPr="005E24EC" w:rsidTr="00C70221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5E24EC" w:rsidRDefault="00C23D8D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C70221" w:rsidRPr="005E24EC" w:rsidTr="00C70221">
        <w:trPr>
          <w:trHeight w:val="300"/>
          <w:jc w:val="center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221" w:rsidRPr="005E24EC" w:rsidRDefault="00C70221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Any other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221" w:rsidRPr="005E24EC" w:rsidRDefault="000467F0" w:rsidP="009510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</w:tbl>
    <w:p w:rsidR="00C23D8D" w:rsidRDefault="00C23D8D" w:rsidP="00B4385F"/>
    <w:p w:rsidR="004A63EC" w:rsidRDefault="004A63EC" w:rsidP="004A63EC">
      <w:pPr>
        <w:pStyle w:val="Heading1"/>
      </w:pPr>
      <w:r>
        <w:t>3. Conclusions</w:t>
      </w:r>
    </w:p>
    <w:p w:rsidR="004A63EC" w:rsidRDefault="00432165" w:rsidP="004A63EC">
      <w:r>
        <w:t>In t</w:t>
      </w:r>
      <w:r w:rsidR="00397D98">
        <w:t>his contribution, we proposed a formula-based</w:t>
      </w:r>
      <w:r>
        <w:t xml:space="preserve"> A-MPR rule for band n41 that </w:t>
      </w:r>
      <w:r w:rsidR="00BA09A5">
        <w:t xml:space="preserve">effectively avoids excess back-off while </w:t>
      </w:r>
      <w:r w:rsidR="00853A81">
        <w:t xml:space="preserve">it </w:t>
      </w:r>
      <w:r w:rsidR="003F7856">
        <w:t xml:space="preserve">still </w:t>
      </w:r>
      <w:r w:rsidR="006167D4">
        <w:t>is</w:t>
      </w:r>
      <w:r w:rsidR="003F7856">
        <w:t xml:space="preserve"> </w:t>
      </w:r>
      <w:r w:rsidR="003B264A">
        <w:t>relatively</w:t>
      </w:r>
      <w:r w:rsidR="003F7856">
        <w:t xml:space="preserve"> simple despite the</w:t>
      </w:r>
      <w:r w:rsidR="00D37B19">
        <w:t xml:space="preserve"> </w:t>
      </w:r>
      <w:r w:rsidR="00D37B19" w:rsidRPr="00D37B19">
        <w:t>overwhelming</w:t>
      </w:r>
      <w:r w:rsidR="00D37B19">
        <w:t xml:space="preserve">ly </w:t>
      </w:r>
      <w:r w:rsidR="003F7856">
        <w:t xml:space="preserve">large number of </w:t>
      </w:r>
      <w:r w:rsidR="00DF3477">
        <w:t xml:space="preserve">possible parameter </w:t>
      </w:r>
      <w:r w:rsidR="003F7856">
        <w:t>combinations</w:t>
      </w:r>
      <w:r w:rsidR="0063770A">
        <w:t>.</w:t>
      </w:r>
    </w:p>
    <w:p w:rsidR="001E3652" w:rsidRPr="00F90378" w:rsidRDefault="001E3652" w:rsidP="001E3652">
      <w:pPr>
        <w:keepNext/>
        <w:keepLines/>
      </w:pPr>
      <w:r w:rsidRPr="00F90378">
        <w:rPr>
          <w:b/>
        </w:rPr>
        <w:t xml:space="preserve">Proposal: </w:t>
      </w:r>
      <w:r w:rsidRPr="00F90378">
        <w:rPr>
          <w:b/>
          <w:color w:val="000000"/>
          <w:lang w:val="en-US"/>
        </w:rPr>
        <w:t xml:space="preserve">The </w:t>
      </w:r>
      <w:r>
        <w:rPr>
          <w:b/>
          <w:color w:val="000000"/>
          <w:lang w:val="en-US"/>
        </w:rPr>
        <w:t xml:space="preserve">back-off is defined as max(MPR, </w:t>
      </w:r>
      <w:r w:rsidRPr="00F90378">
        <w:rPr>
          <w:b/>
          <w:color w:val="000000"/>
          <w:lang w:val="en-US"/>
        </w:rPr>
        <w:t>A-MPR</w:t>
      </w:r>
      <w:r>
        <w:rPr>
          <w:b/>
          <w:color w:val="000000"/>
          <w:lang w:val="en-US"/>
        </w:rPr>
        <w:t>)</w:t>
      </w:r>
      <w:r w:rsidRPr="00F90378">
        <w:rPr>
          <w:b/>
          <w:color w:val="000000"/>
          <w:lang w:val="en-US"/>
        </w:rPr>
        <w:t>.</w:t>
      </w:r>
      <w:r w:rsidRPr="00F90378">
        <w:br/>
      </w:r>
      <w:r w:rsidRPr="00F90378">
        <w:rPr>
          <w:b/>
        </w:rPr>
        <w:t xml:space="preserve">Given the parameters defined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_Ref509480096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noProof/>
        </w:rPr>
        <w:t>1</w:t>
      </w:r>
      <w:r w:rsidRPr="00F90378">
        <w:rPr>
          <w:b/>
        </w:rPr>
        <w:fldChar w:fldCharType="end"/>
      </w:r>
      <w:r w:rsidRPr="00F90378">
        <w:rPr>
          <w:b/>
        </w:rPr>
        <w:t xml:space="preserve"> and symbol definitions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_Ref509450514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>Table</w:t>
      </w:r>
      <w:r w:rsidRPr="00F90378">
        <w:rPr>
          <w:b/>
          <w:noProof/>
        </w:rPr>
        <w:t xml:space="preserve"> </w:t>
      </w:r>
      <w:r w:rsidRPr="00F90378">
        <w:rPr>
          <w:b/>
          <w:i/>
          <w:noProof/>
        </w:rPr>
        <w:t>2</w:t>
      </w:r>
      <w:r w:rsidRPr="00F90378">
        <w:rPr>
          <w:b/>
        </w:rPr>
        <w:fldChar w:fldCharType="end"/>
      </w:r>
      <w:r w:rsidRPr="00F90378">
        <w:rPr>
          <w:b/>
        </w:rPr>
        <w:t>,</w:t>
      </w:r>
      <w:r w:rsidRPr="00F90378">
        <w:rPr>
          <w:b/>
        </w:rPr>
        <w:br/>
      </w:r>
      <w:r w:rsidRPr="00F90378">
        <w:rPr>
          <w:b/>
        </w:rPr>
        <w:br/>
        <w:t xml:space="preserve">if </w:t>
      </w:r>
      <w:r w:rsidRPr="00F90378">
        <w:rPr>
          <w:b/>
          <w:color w:val="000000"/>
          <w:lang w:val="en-US"/>
        </w:rPr>
        <w:t>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f</w:t>
      </w:r>
      <w:r w:rsidRPr="00F90378">
        <w:rPr>
          <w:b/>
          <w:color w:val="000000"/>
          <w:vertAlign w:val="subscript"/>
          <w:lang w:val="en-US"/>
        </w:rPr>
        <w:t>start,max,IMD3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</w:rPr>
        <w:br/>
        <w:t xml:space="preserve">and </w:t>
      </w:r>
      <w:r w:rsidRPr="00F90378">
        <w:rPr>
          <w:b/>
          <w:color w:val="000000"/>
          <w:lang w:val="en-US"/>
        </w:rPr>
        <w:t>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IMD3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1E3652" w:rsidRPr="00F90378" w:rsidRDefault="001E3652" w:rsidP="001E3652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  <w:t xml:space="preserve">the A-MPR is defined </w:t>
      </w:r>
      <w:r>
        <w:rPr>
          <w:b/>
          <w:color w:val="000000"/>
          <w:lang w:val="en-US"/>
        </w:rPr>
        <w:t xml:space="preserve">according </w:t>
      </w:r>
      <w:r w:rsidRPr="00F90378">
        <w:rPr>
          <w:b/>
          <w:color w:val="000000"/>
          <w:lang w:val="en-US"/>
        </w:rPr>
        <w:t xml:space="preserve">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noProof/>
        </w:rPr>
        <w:t>3</w:t>
      </w:r>
      <w:r w:rsidRPr="00F90378">
        <w:rPr>
          <w:b/>
          <w:color w:val="000000"/>
          <w:lang w:val="en-US"/>
        </w:rPr>
        <w:fldChar w:fldCharType="end"/>
      </w:r>
      <w:r w:rsidRPr="00F90378">
        <w:rPr>
          <w:b/>
          <w:color w:val="000000"/>
          <w:lang w:val="en-US"/>
        </w:rPr>
        <w:t>,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>/2 +</w:t>
      </w:r>
      <w:r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  <w:t xml:space="preserve">the A-MPR is defined according 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noProof/>
        </w:rPr>
        <w:t>3</w:t>
      </w:r>
      <w:r w:rsidRPr="00F90378">
        <w:rPr>
          <w:b/>
          <w:color w:val="000000"/>
          <w:lang w:val="en-US"/>
        </w:rPr>
        <w:fldChar w:fldCharType="end"/>
      </w:r>
      <w:r w:rsidRPr="00F90378">
        <w:rPr>
          <w:b/>
          <w:color w:val="000000"/>
          <w:lang w:val="en-US"/>
        </w:rPr>
        <w:t>,</w:t>
      </w:r>
    </w:p>
    <w:p w:rsidR="001E3652" w:rsidRPr="00F90378" w:rsidRDefault="001E3652" w:rsidP="001E3652">
      <w:pPr>
        <w:keepNext/>
        <w:keepLines/>
        <w:rPr>
          <w:b/>
        </w:rPr>
      </w:pPr>
      <w:r w:rsidRPr="00F90378">
        <w:rPr>
          <w:b/>
        </w:rPr>
        <w:t>else,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>
        <w:rPr>
          <w:b/>
          <w:color w:val="000000"/>
          <w:lang w:val="en-US"/>
        </w:rPr>
        <w:t>A-MPR = 0.</w:t>
      </w:r>
    </w:p>
    <w:p w:rsidR="004A63EC" w:rsidRDefault="004A63EC" w:rsidP="004A63EC">
      <w:pPr>
        <w:pStyle w:val="Heading1"/>
      </w:pPr>
      <w:r>
        <w:t>References</w:t>
      </w:r>
    </w:p>
    <w:p w:rsidR="005A7A68" w:rsidRPr="00E30E54" w:rsidRDefault="0079705D" w:rsidP="00E30E54">
      <w:pPr>
        <w:pStyle w:val="ListParagraph"/>
        <w:numPr>
          <w:ilvl w:val="0"/>
          <w:numId w:val="9"/>
        </w:numPr>
        <w:rPr>
          <w:sz w:val="22"/>
          <w:szCs w:val="22"/>
        </w:rPr>
      </w:pPr>
      <w:bookmarkStart w:id="13" w:name="_Ref509448318"/>
      <w:r w:rsidRPr="004578F1">
        <w:rPr>
          <w:sz w:val="22"/>
          <w:szCs w:val="22"/>
        </w:rPr>
        <w:t>R4-1802539, n41 A-MPR simulations results, Nokia, RAN4#86, Athens, March 2018</w:t>
      </w:r>
      <w:bookmarkEnd w:id="13"/>
    </w:p>
    <w:sectPr w:rsidR="005A7A68" w:rsidRPr="00E30E54">
      <w:headerReference w:type="even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2C9" w:rsidRDefault="00F132C9" w:rsidP="002B3503">
      <w:pPr>
        <w:spacing w:after="0"/>
      </w:pPr>
      <w:r>
        <w:separator/>
      </w:r>
    </w:p>
  </w:endnote>
  <w:endnote w:type="continuationSeparator" w:id="0">
    <w:p w:rsidR="00F132C9" w:rsidRDefault="00F132C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2C9" w:rsidRDefault="00F132C9" w:rsidP="002B3503">
      <w:pPr>
        <w:spacing w:after="0"/>
      </w:pPr>
      <w:r>
        <w:separator/>
      </w:r>
    </w:p>
  </w:footnote>
  <w:footnote w:type="continuationSeparator" w:id="0">
    <w:p w:rsidR="00F132C9" w:rsidRDefault="00F132C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D5E" w:rsidRDefault="00DE2D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75F2D"/>
    <w:multiLevelType w:val="hybridMultilevel"/>
    <w:tmpl w:val="3DB6E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140DF"/>
    <w:multiLevelType w:val="multilevel"/>
    <w:tmpl w:val="17CC45BA"/>
    <w:name w:val="Choice"/>
    <w:lvl w:ilvl="0">
      <w:start w:val="1"/>
      <w:numFmt w:val="decimal"/>
      <w:suff w:val="nothing"/>
      <w:lvlText w:val="Choice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D10C3"/>
    <w:multiLevelType w:val="multilevel"/>
    <w:tmpl w:val="7194B2B4"/>
    <w:name w:val="Idea"/>
    <w:lvl w:ilvl="0">
      <w:start w:val="1"/>
      <w:numFmt w:val="decimal"/>
      <w:suff w:val="nothing"/>
      <w:lvlText w:val="Idea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7F4F"/>
    <w:multiLevelType w:val="hybridMultilevel"/>
    <w:tmpl w:val="A61AAC2A"/>
    <w:lvl w:ilvl="0" w:tplc="82902C36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81FD7"/>
    <w:multiLevelType w:val="multilevel"/>
    <w:tmpl w:val="3AA42792"/>
    <w:lvl w:ilvl="0">
      <w:start w:val="1"/>
      <w:numFmt w:val="decimal"/>
      <w:suff w:val="nothing"/>
      <w:lvlText w:val="Observation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55B27E3"/>
    <w:multiLevelType w:val="hybridMultilevel"/>
    <w:tmpl w:val="4544B448"/>
    <w:lvl w:ilvl="0" w:tplc="080616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51B8"/>
    <w:rsid w:val="00006A16"/>
    <w:rsid w:val="0001463C"/>
    <w:rsid w:val="00021C68"/>
    <w:rsid w:val="0002439A"/>
    <w:rsid w:val="00024934"/>
    <w:rsid w:val="0002515F"/>
    <w:rsid w:val="0002768F"/>
    <w:rsid w:val="00034398"/>
    <w:rsid w:val="00042212"/>
    <w:rsid w:val="00044CC5"/>
    <w:rsid w:val="000467F0"/>
    <w:rsid w:val="000478CA"/>
    <w:rsid w:val="0006279D"/>
    <w:rsid w:val="0006492A"/>
    <w:rsid w:val="00065FA2"/>
    <w:rsid w:val="00070E5C"/>
    <w:rsid w:val="000732A6"/>
    <w:rsid w:val="00082EBE"/>
    <w:rsid w:val="00091F0B"/>
    <w:rsid w:val="000965D0"/>
    <w:rsid w:val="000A066B"/>
    <w:rsid w:val="000A6473"/>
    <w:rsid w:val="000B041A"/>
    <w:rsid w:val="000B4E56"/>
    <w:rsid w:val="000B5E8E"/>
    <w:rsid w:val="000C014C"/>
    <w:rsid w:val="000C1AB5"/>
    <w:rsid w:val="000C218E"/>
    <w:rsid w:val="000E01D1"/>
    <w:rsid w:val="000E5978"/>
    <w:rsid w:val="000F2546"/>
    <w:rsid w:val="000F373B"/>
    <w:rsid w:val="00105C21"/>
    <w:rsid w:val="00120B6E"/>
    <w:rsid w:val="001215F7"/>
    <w:rsid w:val="00123F8D"/>
    <w:rsid w:val="001263F3"/>
    <w:rsid w:val="00130C87"/>
    <w:rsid w:val="00132697"/>
    <w:rsid w:val="001352FF"/>
    <w:rsid w:val="00136463"/>
    <w:rsid w:val="001364A1"/>
    <w:rsid w:val="00137A47"/>
    <w:rsid w:val="00145015"/>
    <w:rsid w:val="00145B03"/>
    <w:rsid w:val="0015000E"/>
    <w:rsid w:val="00151D85"/>
    <w:rsid w:val="00154D5F"/>
    <w:rsid w:val="00160A9E"/>
    <w:rsid w:val="0016131F"/>
    <w:rsid w:val="00165011"/>
    <w:rsid w:val="00165859"/>
    <w:rsid w:val="00182A4E"/>
    <w:rsid w:val="0018429F"/>
    <w:rsid w:val="00195DAC"/>
    <w:rsid w:val="001A0126"/>
    <w:rsid w:val="001A0EF1"/>
    <w:rsid w:val="001A1347"/>
    <w:rsid w:val="001A2A1B"/>
    <w:rsid w:val="001A4F81"/>
    <w:rsid w:val="001B5162"/>
    <w:rsid w:val="001B5BD0"/>
    <w:rsid w:val="001B7339"/>
    <w:rsid w:val="001C485D"/>
    <w:rsid w:val="001D2FDB"/>
    <w:rsid w:val="001E11BC"/>
    <w:rsid w:val="001E1F28"/>
    <w:rsid w:val="001E2623"/>
    <w:rsid w:val="001E3652"/>
    <w:rsid w:val="001F585A"/>
    <w:rsid w:val="002007C1"/>
    <w:rsid w:val="00206953"/>
    <w:rsid w:val="002113AC"/>
    <w:rsid w:val="00214C87"/>
    <w:rsid w:val="00215035"/>
    <w:rsid w:val="00224E2F"/>
    <w:rsid w:val="0023269C"/>
    <w:rsid w:val="00240129"/>
    <w:rsid w:val="00243590"/>
    <w:rsid w:val="00247377"/>
    <w:rsid w:val="00250CB7"/>
    <w:rsid w:val="002512F4"/>
    <w:rsid w:val="002533EA"/>
    <w:rsid w:val="00264237"/>
    <w:rsid w:val="00270D83"/>
    <w:rsid w:val="00270EDE"/>
    <w:rsid w:val="002712C8"/>
    <w:rsid w:val="00283400"/>
    <w:rsid w:val="0028689D"/>
    <w:rsid w:val="002870CD"/>
    <w:rsid w:val="00291DDD"/>
    <w:rsid w:val="00296062"/>
    <w:rsid w:val="002A7181"/>
    <w:rsid w:val="002A7233"/>
    <w:rsid w:val="002B3503"/>
    <w:rsid w:val="002B7F17"/>
    <w:rsid w:val="002C01B8"/>
    <w:rsid w:val="002D3A56"/>
    <w:rsid w:val="002E5534"/>
    <w:rsid w:val="002F0A17"/>
    <w:rsid w:val="002F10C8"/>
    <w:rsid w:val="002F6A38"/>
    <w:rsid w:val="0030499A"/>
    <w:rsid w:val="00304E82"/>
    <w:rsid w:val="00306C21"/>
    <w:rsid w:val="0031090D"/>
    <w:rsid w:val="00316C8F"/>
    <w:rsid w:val="00317511"/>
    <w:rsid w:val="00322FBB"/>
    <w:rsid w:val="00342359"/>
    <w:rsid w:val="00347DEA"/>
    <w:rsid w:val="00352243"/>
    <w:rsid w:val="00355174"/>
    <w:rsid w:val="00365FE3"/>
    <w:rsid w:val="00375C83"/>
    <w:rsid w:val="003777FE"/>
    <w:rsid w:val="00381B48"/>
    <w:rsid w:val="00393AB8"/>
    <w:rsid w:val="00394A0B"/>
    <w:rsid w:val="00397D98"/>
    <w:rsid w:val="003A1D41"/>
    <w:rsid w:val="003B10B0"/>
    <w:rsid w:val="003B264A"/>
    <w:rsid w:val="003B412E"/>
    <w:rsid w:val="003B5225"/>
    <w:rsid w:val="003C3277"/>
    <w:rsid w:val="003C4057"/>
    <w:rsid w:val="003C4E71"/>
    <w:rsid w:val="003D794C"/>
    <w:rsid w:val="003E18CB"/>
    <w:rsid w:val="003E18DD"/>
    <w:rsid w:val="003E4341"/>
    <w:rsid w:val="003E5C7B"/>
    <w:rsid w:val="003E735E"/>
    <w:rsid w:val="003F4855"/>
    <w:rsid w:val="003F5F74"/>
    <w:rsid w:val="003F7856"/>
    <w:rsid w:val="00405DFF"/>
    <w:rsid w:val="0041323E"/>
    <w:rsid w:val="0041553D"/>
    <w:rsid w:val="0042109F"/>
    <w:rsid w:val="0042206C"/>
    <w:rsid w:val="00425487"/>
    <w:rsid w:val="00432165"/>
    <w:rsid w:val="0043450E"/>
    <w:rsid w:val="00437328"/>
    <w:rsid w:val="00441845"/>
    <w:rsid w:val="00443BE0"/>
    <w:rsid w:val="00444CF5"/>
    <w:rsid w:val="00446E35"/>
    <w:rsid w:val="0045276B"/>
    <w:rsid w:val="00453BA5"/>
    <w:rsid w:val="00453D96"/>
    <w:rsid w:val="00454E53"/>
    <w:rsid w:val="0045690E"/>
    <w:rsid w:val="004578F1"/>
    <w:rsid w:val="004748A8"/>
    <w:rsid w:val="00482477"/>
    <w:rsid w:val="00482FEA"/>
    <w:rsid w:val="00485147"/>
    <w:rsid w:val="0048611C"/>
    <w:rsid w:val="00491386"/>
    <w:rsid w:val="0049464F"/>
    <w:rsid w:val="00494F18"/>
    <w:rsid w:val="004979B3"/>
    <w:rsid w:val="004A051D"/>
    <w:rsid w:val="004A053D"/>
    <w:rsid w:val="004A2484"/>
    <w:rsid w:val="004A63EC"/>
    <w:rsid w:val="004B4C4D"/>
    <w:rsid w:val="004C0103"/>
    <w:rsid w:val="004C491D"/>
    <w:rsid w:val="004C58F9"/>
    <w:rsid w:val="004C5D6E"/>
    <w:rsid w:val="004C6D7A"/>
    <w:rsid w:val="004D0C67"/>
    <w:rsid w:val="004D1F12"/>
    <w:rsid w:val="004D3031"/>
    <w:rsid w:val="004D3A29"/>
    <w:rsid w:val="004D3D81"/>
    <w:rsid w:val="004E2298"/>
    <w:rsid w:val="004E3D3E"/>
    <w:rsid w:val="004E71EE"/>
    <w:rsid w:val="004E781B"/>
    <w:rsid w:val="00503E73"/>
    <w:rsid w:val="005054DB"/>
    <w:rsid w:val="0050598D"/>
    <w:rsid w:val="00517E8E"/>
    <w:rsid w:val="005268D0"/>
    <w:rsid w:val="00536831"/>
    <w:rsid w:val="00546D15"/>
    <w:rsid w:val="00551D5E"/>
    <w:rsid w:val="0055298E"/>
    <w:rsid w:val="00560A63"/>
    <w:rsid w:val="00570B14"/>
    <w:rsid w:val="005762BC"/>
    <w:rsid w:val="0058176A"/>
    <w:rsid w:val="00584433"/>
    <w:rsid w:val="00585E7D"/>
    <w:rsid w:val="00586930"/>
    <w:rsid w:val="00595634"/>
    <w:rsid w:val="005A3BB3"/>
    <w:rsid w:val="005A6D7B"/>
    <w:rsid w:val="005A7A68"/>
    <w:rsid w:val="005B0320"/>
    <w:rsid w:val="005B2640"/>
    <w:rsid w:val="005C082F"/>
    <w:rsid w:val="005C71D1"/>
    <w:rsid w:val="005D02E0"/>
    <w:rsid w:val="005D071D"/>
    <w:rsid w:val="005D2AB3"/>
    <w:rsid w:val="005E24EC"/>
    <w:rsid w:val="005E78F8"/>
    <w:rsid w:val="005F53C1"/>
    <w:rsid w:val="005F6CE3"/>
    <w:rsid w:val="006018D8"/>
    <w:rsid w:val="00602EB6"/>
    <w:rsid w:val="00610F4D"/>
    <w:rsid w:val="00613D28"/>
    <w:rsid w:val="006167D4"/>
    <w:rsid w:val="00624D73"/>
    <w:rsid w:val="006331F7"/>
    <w:rsid w:val="0063628A"/>
    <w:rsid w:val="0063770A"/>
    <w:rsid w:val="00641C2E"/>
    <w:rsid w:val="00642ACA"/>
    <w:rsid w:val="006432FA"/>
    <w:rsid w:val="00661327"/>
    <w:rsid w:val="0066319C"/>
    <w:rsid w:val="006658EB"/>
    <w:rsid w:val="00670D63"/>
    <w:rsid w:val="0067101F"/>
    <w:rsid w:val="006719C2"/>
    <w:rsid w:val="00672571"/>
    <w:rsid w:val="0067766D"/>
    <w:rsid w:val="006817F1"/>
    <w:rsid w:val="00682526"/>
    <w:rsid w:val="00693AE8"/>
    <w:rsid w:val="006945B2"/>
    <w:rsid w:val="00696094"/>
    <w:rsid w:val="006A1DEB"/>
    <w:rsid w:val="006A7FB8"/>
    <w:rsid w:val="006C0116"/>
    <w:rsid w:val="006C6840"/>
    <w:rsid w:val="006E0194"/>
    <w:rsid w:val="006F33AE"/>
    <w:rsid w:val="006F64F8"/>
    <w:rsid w:val="006F6F87"/>
    <w:rsid w:val="00700FF4"/>
    <w:rsid w:val="00713FE8"/>
    <w:rsid w:val="00715066"/>
    <w:rsid w:val="007229A2"/>
    <w:rsid w:val="00723C50"/>
    <w:rsid w:val="00726265"/>
    <w:rsid w:val="00762F66"/>
    <w:rsid w:val="00766A5E"/>
    <w:rsid w:val="007747CF"/>
    <w:rsid w:val="00774F66"/>
    <w:rsid w:val="00776F22"/>
    <w:rsid w:val="00781C76"/>
    <w:rsid w:val="00782C45"/>
    <w:rsid w:val="00787129"/>
    <w:rsid w:val="0079109F"/>
    <w:rsid w:val="007911FE"/>
    <w:rsid w:val="00793092"/>
    <w:rsid w:val="007944CC"/>
    <w:rsid w:val="0079705D"/>
    <w:rsid w:val="007A525C"/>
    <w:rsid w:val="007B0E51"/>
    <w:rsid w:val="007B16DA"/>
    <w:rsid w:val="007B2212"/>
    <w:rsid w:val="007B2451"/>
    <w:rsid w:val="007C45C3"/>
    <w:rsid w:val="007D1383"/>
    <w:rsid w:val="007D20DF"/>
    <w:rsid w:val="007D2639"/>
    <w:rsid w:val="007E43CF"/>
    <w:rsid w:val="00814CFE"/>
    <w:rsid w:val="00815D01"/>
    <w:rsid w:val="008236E4"/>
    <w:rsid w:val="0082581E"/>
    <w:rsid w:val="00825C4A"/>
    <w:rsid w:val="0082774C"/>
    <w:rsid w:val="00830682"/>
    <w:rsid w:val="00832279"/>
    <w:rsid w:val="00835F5D"/>
    <w:rsid w:val="00836FB4"/>
    <w:rsid w:val="00837A2F"/>
    <w:rsid w:val="00844243"/>
    <w:rsid w:val="00852931"/>
    <w:rsid w:val="00853A81"/>
    <w:rsid w:val="0086536D"/>
    <w:rsid w:val="00867A56"/>
    <w:rsid w:val="00867BC6"/>
    <w:rsid w:val="008866C0"/>
    <w:rsid w:val="0088760A"/>
    <w:rsid w:val="00893F61"/>
    <w:rsid w:val="008972EB"/>
    <w:rsid w:val="008A28BB"/>
    <w:rsid w:val="008A41DE"/>
    <w:rsid w:val="008A4493"/>
    <w:rsid w:val="008B2B19"/>
    <w:rsid w:val="008B5FEF"/>
    <w:rsid w:val="008C4722"/>
    <w:rsid w:val="008C6F32"/>
    <w:rsid w:val="008E089D"/>
    <w:rsid w:val="008E64FC"/>
    <w:rsid w:val="008F2D63"/>
    <w:rsid w:val="0090649F"/>
    <w:rsid w:val="00906BEA"/>
    <w:rsid w:val="0091383D"/>
    <w:rsid w:val="00915C6A"/>
    <w:rsid w:val="00926080"/>
    <w:rsid w:val="009277C9"/>
    <w:rsid w:val="00927DC2"/>
    <w:rsid w:val="00934AB6"/>
    <w:rsid w:val="00940559"/>
    <w:rsid w:val="00941C6E"/>
    <w:rsid w:val="0094263B"/>
    <w:rsid w:val="0095702A"/>
    <w:rsid w:val="0096172B"/>
    <w:rsid w:val="00961A34"/>
    <w:rsid w:val="00964B49"/>
    <w:rsid w:val="00966CEF"/>
    <w:rsid w:val="009738EB"/>
    <w:rsid w:val="009764BF"/>
    <w:rsid w:val="00982B66"/>
    <w:rsid w:val="0098469E"/>
    <w:rsid w:val="00995E3D"/>
    <w:rsid w:val="00996062"/>
    <w:rsid w:val="009A7B5F"/>
    <w:rsid w:val="009B1E68"/>
    <w:rsid w:val="009B4C43"/>
    <w:rsid w:val="009C06E8"/>
    <w:rsid w:val="009C6C19"/>
    <w:rsid w:val="009C6D5A"/>
    <w:rsid w:val="009C7F88"/>
    <w:rsid w:val="009D5CFE"/>
    <w:rsid w:val="009D7209"/>
    <w:rsid w:val="009E1B98"/>
    <w:rsid w:val="009F164B"/>
    <w:rsid w:val="009F178A"/>
    <w:rsid w:val="009F2950"/>
    <w:rsid w:val="009F5F55"/>
    <w:rsid w:val="009F7939"/>
    <w:rsid w:val="00A03714"/>
    <w:rsid w:val="00A0466C"/>
    <w:rsid w:val="00A04DDE"/>
    <w:rsid w:val="00A0661D"/>
    <w:rsid w:val="00A1068E"/>
    <w:rsid w:val="00A23691"/>
    <w:rsid w:val="00A26683"/>
    <w:rsid w:val="00A3051D"/>
    <w:rsid w:val="00A31597"/>
    <w:rsid w:val="00A31E89"/>
    <w:rsid w:val="00A3256F"/>
    <w:rsid w:val="00A37C77"/>
    <w:rsid w:val="00A4357C"/>
    <w:rsid w:val="00A435A3"/>
    <w:rsid w:val="00A451E8"/>
    <w:rsid w:val="00A50719"/>
    <w:rsid w:val="00A52F96"/>
    <w:rsid w:val="00A6018C"/>
    <w:rsid w:val="00A60209"/>
    <w:rsid w:val="00A718CB"/>
    <w:rsid w:val="00A909A6"/>
    <w:rsid w:val="00A9163D"/>
    <w:rsid w:val="00A9454B"/>
    <w:rsid w:val="00AA3B51"/>
    <w:rsid w:val="00AA4BBD"/>
    <w:rsid w:val="00AA4C3B"/>
    <w:rsid w:val="00AA64CE"/>
    <w:rsid w:val="00AB0C8A"/>
    <w:rsid w:val="00AB11FA"/>
    <w:rsid w:val="00AC3515"/>
    <w:rsid w:val="00AC3D0D"/>
    <w:rsid w:val="00AC4913"/>
    <w:rsid w:val="00AD08ED"/>
    <w:rsid w:val="00AD1EA1"/>
    <w:rsid w:val="00AD205E"/>
    <w:rsid w:val="00AD386B"/>
    <w:rsid w:val="00AD64A7"/>
    <w:rsid w:val="00AD6B9A"/>
    <w:rsid w:val="00AD6F6D"/>
    <w:rsid w:val="00AE456F"/>
    <w:rsid w:val="00AE5921"/>
    <w:rsid w:val="00AE5A5C"/>
    <w:rsid w:val="00AE6327"/>
    <w:rsid w:val="00AF3348"/>
    <w:rsid w:val="00AF74E6"/>
    <w:rsid w:val="00AF7C47"/>
    <w:rsid w:val="00B007CE"/>
    <w:rsid w:val="00B013EA"/>
    <w:rsid w:val="00B022F6"/>
    <w:rsid w:val="00B048F5"/>
    <w:rsid w:val="00B0729A"/>
    <w:rsid w:val="00B12883"/>
    <w:rsid w:val="00B139F3"/>
    <w:rsid w:val="00B160DF"/>
    <w:rsid w:val="00B25161"/>
    <w:rsid w:val="00B26FB8"/>
    <w:rsid w:val="00B27459"/>
    <w:rsid w:val="00B341E9"/>
    <w:rsid w:val="00B359F7"/>
    <w:rsid w:val="00B4385F"/>
    <w:rsid w:val="00B5452C"/>
    <w:rsid w:val="00B61430"/>
    <w:rsid w:val="00B65B59"/>
    <w:rsid w:val="00B66084"/>
    <w:rsid w:val="00B67526"/>
    <w:rsid w:val="00B70EF6"/>
    <w:rsid w:val="00B72A9D"/>
    <w:rsid w:val="00B73D8A"/>
    <w:rsid w:val="00B8366E"/>
    <w:rsid w:val="00B914A0"/>
    <w:rsid w:val="00B91E18"/>
    <w:rsid w:val="00B92A7A"/>
    <w:rsid w:val="00B93589"/>
    <w:rsid w:val="00BA035A"/>
    <w:rsid w:val="00BA09A5"/>
    <w:rsid w:val="00BA3BD5"/>
    <w:rsid w:val="00BA63C4"/>
    <w:rsid w:val="00BC21A4"/>
    <w:rsid w:val="00BC2812"/>
    <w:rsid w:val="00BC764C"/>
    <w:rsid w:val="00BD2A28"/>
    <w:rsid w:val="00BD3B97"/>
    <w:rsid w:val="00BD6BA8"/>
    <w:rsid w:val="00BD7032"/>
    <w:rsid w:val="00BE43A1"/>
    <w:rsid w:val="00BF6D75"/>
    <w:rsid w:val="00BF7306"/>
    <w:rsid w:val="00C02F1A"/>
    <w:rsid w:val="00C03F11"/>
    <w:rsid w:val="00C13795"/>
    <w:rsid w:val="00C1650D"/>
    <w:rsid w:val="00C17E6B"/>
    <w:rsid w:val="00C21554"/>
    <w:rsid w:val="00C22A93"/>
    <w:rsid w:val="00C23D8D"/>
    <w:rsid w:val="00C309B6"/>
    <w:rsid w:val="00C309C3"/>
    <w:rsid w:val="00C371DB"/>
    <w:rsid w:val="00C42FE3"/>
    <w:rsid w:val="00C47AA1"/>
    <w:rsid w:val="00C5472D"/>
    <w:rsid w:val="00C54866"/>
    <w:rsid w:val="00C62184"/>
    <w:rsid w:val="00C622F4"/>
    <w:rsid w:val="00C70221"/>
    <w:rsid w:val="00C7768C"/>
    <w:rsid w:val="00C84BCF"/>
    <w:rsid w:val="00C857D4"/>
    <w:rsid w:val="00C868FD"/>
    <w:rsid w:val="00C9583D"/>
    <w:rsid w:val="00CB1828"/>
    <w:rsid w:val="00CB2973"/>
    <w:rsid w:val="00CB30A6"/>
    <w:rsid w:val="00CB5DDC"/>
    <w:rsid w:val="00CC015B"/>
    <w:rsid w:val="00CC023D"/>
    <w:rsid w:val="00CC14BA"/>
    <w:rsid w:val="00CC176E"/>
    <w:rsid w:val="00CC21D5"/>
    <w:rsid w:val="00CC7884"/>
    <w:rsid w:val="00CD0176"/>
    <w:rsid w:val="00CD0A56"/>
    <w:rsid w:val="00CD5B57"/>
    <w:rsid w:val="00CD5BE6"/>
    <w:rsid w:val="00CE7124"/>
    <w:rsid w:val="00CF008A"/>
    <w:rsid w:val="00CF3183"/>
    <w:rsid w:val="00CF5B33"/>
    <w:rsid w:val="00CF746C"/>
    <w:rsid w:val="00CF7F3F"/>
    <w:rsid w:val="00D235E1"/>
    <w:rsid w:val="00D24004"/>
    <w:rsid w:val="00D2490A"/>
    <w:rsid w:val="00D275CC"/>
    <w:rsid w:val="00D304E3"/>
    <w:rsid w:val="00D308BC"/>
    <w:rsid w:val="00D37B19"/>
    <w:rsid w:val="00D434BC"/>
    <w:rsid w:val="00D47CE5"/>
    <w:rsid w:val="00D5283D"/>
    <w:rsid w:val="00D54155"/>
    <w:rsid w:val="00D5559D"/>
    <w:rsid w:val="00D573D3"/>
    <w:rsid w:val="00D66D86"/>
    <w:rsid w:val="00D70D1C"/>
    <w:rsid w:val="00D71F77"/>
    <w:rsid w:val="00D757D0"/>
    <w:rsid w:val="00D767C4"/>
    <w:rsid w:val="00D77CF5"/>
    <w:rsid w:val="00D805FD"/>
    <w:rsid w:val="00D91F7E"/>
    <w:rsid w:val="00D92D24"/>
    <w:rsid w:val="00D94EE5"/>
    <w:rsid w:val="00DA2330"/>
    <w:rsid w:val="00DA7C9B"/>
    <w:rsid w:val="00DC0262"/>
    <w:rsid w:val="00DD06EA"/>
    <w:rsid w:val="00DE2D5E"/>
    <w:rsid w:val="00DF3477"/>
    <w:rsid w:val="00DF355C"/>
    <w:rsid w:val="00DF6C1E"/>
    <w:rsid w:val="00E048F5"/>
    <w:rsid w:val="00E071C3"/>
    <w:rsid w:val="00E07F13"/>
    <w:rsid w:val="00E11D4F"/>
    <w:rsid w:val="00E25C13"/>
    <w:rsid w:val="00E26C0A"/>
    <w:rsid w:val="00E30E54"/>
    <w:rsid w:val="00E33B68"/>
    <w:rsid w:val="00E5113A"/>
    <w:rsid w:val="00E60C9E"/>
    <w:rsid w:val="00E701E1"/>
    <w:rsid w:val="00E74A5B"/>
    <w:rsid w:val="00E7597D"/>
    <w:rsid w:val="00E80CD1"/>
    <w:rsid w:val="00E80DCF"/>
    <w:rsid w:val="00E819A2"/>
    <w:rsid w:val="00E81A16"/>
    <w:rsid w:val="00E85D49"/>
    <w:rsid w:val="00E962C5"/>
    <w:rsid w:val="00EA0F2E"/>
    <w:rsid w:val="00EA3488"/>
    <w:rsid w:val="00EB1F81"/>
    <w:rsid w:val="00EB398F"/>
    <w:rsid w:val="00EB56C2"/>
    <w:rsid w:val="00EB5F7D"/>
    <w:rsid w:val="00EC589F"/>
    <w:rsid w:val="00EC591B"/>
    <w:rsid w:val="00EC5E0B"/>
    <w:rsid w:val="00EC638C"/>
    <w:rsid w:val="00ED34F8"/>
    <w:rsid w:val="00ED7DAC"/>
    <w:rsid w:val="00EE4E4C"/>
    <w:rsid w:val="00EF551E"/>
    <w:rsid w:val="00F132C9"/>
    <w:rsid w:val="00F21816"/>
    <w:rsid w:val="00F37467"/>
    <w:rsid w:val="00F40B2B"/>
    <w:rsid w:val="00F455F0"/>
    <w:rsid w:val="00F51AF6"/>
    <w:rsid w:val="00F55C43"/>
    <w:rsid w:val="00F64F96"/>
    <w:rsid w:val="00F702E4"/>
    <w:rsid w:val="00F71B39"/>
    <w:rsid w:val="00F720FA"/>
    <w:rsid w:val="00F737DE"/>
    <w:rsid w:val="00F85306"/>
    <w:rsid w:val="00F86F9E"/>
    <w:rsid w:val="00F9035C"/>
    <w:rsid w:val="00F90378"/>
    <w:rsid w:val="00F91A52"/>
    <w:rsid w:val="00F9250A"/>
    <w:rsid w:val="00F9549C"/>
    <w:rsid w:val="00F97D64"/>
    <w:rsid w:val="00FA5BD7"/>
    <w:rsid w:val="00FB0191"/>
    <w:rsid w:val="00FB2EF6"/>
    <w:rsid w:val="00FB2F97"/>
    <w:rsid w:val="00FC02EB"/>
    <w:rsid w:val="00FC1ACE"/>
    <w:rsid w:val="00FC36D1"/>
    <w:rsid w:val="00FD085A"/>
    <w:rsid w:val="00FD33AC"/>
    <w:rsid w:val="00FD4105"/>
    <w:rsid w:val="00FD543C"/>
    <w:rsid w:val="00FD60E5"/>
    <w:rsid w:val="00FD7AC7"/>
    <w:rsid w:val="00FE1B89"/>
    <w:rsid w:val="00FE2652"/>
    <w:rsid w:val="00FE4D3C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455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455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55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55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55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55F0"/>
    <w:pPr>
      <w:outlineLvl w:val="5"/>
    </w:pPr>
  </w:style>
  <w:style w:type="paragraph" w:styleId="Heading7">
    <w:name w:val="heading 7"/>
    <w:basedOn w:val="H6"/>
    <w:next w:val="Normal"/>
    <w:qFormat/>
    <w:rsid w:val="00F455F0"/>
    <w:pPr>
      <w:outlineLvl w:val="6"/>
    </w:pPr>
  </w:style>
  <w:style w:type="paragraph" w:styleId="Heading8">
    <w:name w:val="heading 8"/>
    <w:basedOn w:val="Heading1"/>
    <w:next w:val="Normal"/>
    <w:qFormat/>
    <w:rsid w:val="00F455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55F0"/>
    <w:pPr>
      <w:outlineLvl w:val="8"/>
    </w:pPr>
  </w:style>
  <w:style w:type="character" w:default="1" w:styleId="DefaultParagraphFont">
    <w:name w:val="Default Paragraph Font"/>
    <w:semiHidden/>
    <w:rsid w:val="00F455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55F0"/>
  </w:style>
  <w:style w:type="paragraph" w:styleId="TOC8">
    <w:name w:val="toc 8"/>
    <w:basedOn w:val="TOC1"/>
    <w:semiHidden/>
    <w:rsid w:val="00F455F0"/>
    <w:pPr>
      <w:spacing w:before="180"/>
      <w:ind w:left="2693" w:hanging="2693"/>
    </w:pPr>
    <w:rPr>
      <w:b/>
    </w:rPr>
  </w:style>
  <w:style w:type="paragraph" w:styleId="TOC1">
    <w:name w:val="toc 1"/>
    <w:semiHidden/>
    <w:rsid w:val="00F455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455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455F0"/>
    <w:pPr>
      <w:ind w:left="1701" w:hanging="1701"/>
    </w:pPr>
  </w:style>
  <w:style w:type="paragraph" w:styleId="TOC4">
    <w:name w:val="toc 4"/>
    <w:basedOn w:val="TOC3"/>
    <w:semiHidden/>
    <w:rsid w:val="00F455F0"/>
    <w:pPr>
      <w:ind w:left="1418" w:hanging="1418"/>
    </w:pPr>
  </w:style>
  <w:style w:type="paragraph" w:styleId="TOC3">
    <w:name w:val="toc 3"/>
    <w:basedOn w:val="TOC2"/>
    <w:semiHidden/>
    <w:rsid w:val="00F455F0"/>
    <w:pPr>
      <w:ind w:left="1134" w:hanging="1134"/>
    </w:pPr>
  </w:style>
  <w:style w:type="paragraph" w:styleId="TOC2">
    <w:name w:val="toc 2"/>
    <w:basedOn w:val="TOC1"/>
    <w:semiHidden/>
    <w:rsid w:val="00F455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55F0"/>
    <w:pPr>
      <w:ind w:left="284"/>
    </w:pPr>
  </w:style>
  <w:style w:type="paragraph" w:styleId="Index1">
    <w:name w:val="index 1"/>
    <w:basedOn w:val="Normal"/>
    <w:semiHidden/>
    <w:rsid w:val="00F455F0"/>
    <w:pPr>
      <w:keepLines/>
      <w:spacing w:after="0"/>
    </w:pPr>
  </w:style>
  <w:style w:type="paragraph" w:customStyle="1" w:styleId="ZH">
    <w:name w:val="ZH"/>
    <w:rsid w:val="00F455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455F0"/>
    <w:pPr>
      <w:outlineLvl w:val="9"/>
    </w:pPr>
  </w:style>
  <w:style w:type="paragraph" w:styleId="ListNumber2">
    <w:name w:val="List Number 2"/>
    <w:basedOn w:val="ListNumber"/>
    <w:semiHidden/>
    <w:rsid w:val="00F455F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455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455F0"/>
    <w:rPr>
      <w:b/>
      <w:position w:val="6"/>
      <w:sz w:val="16"/>
    </w:rPr>
  </w:style>
  <w:style w:type="paragraph" w:styleId="FootnoteText">
    <w:name w:val="footnote text"/>
    <w:basedOn w:val="Normal"/>
    <w:semiHidden/>
    <w:rsid w:val="00F455F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55F0"/>
    <w:rPr>
      <w:b/>
    </w:rPr>
  </w:style>
  <w:style w:type="paragraph" w:customStyle="1" w:styleId="TAC">
    <w:name w:val="TAC"/>
    <w:basedOn w:val="TAL"/>
    <w:link w:val="TACChar"/>
    <w:rsid w:val="00F455F0"/>
    <w:pPr>
      <w:jc w:val="center"/>
    </w:pPr>
  </w:style>
  <w:style w:type="paragraph" w:customStyle="1" w:styleId="TF">
    <w:name w:val="TF"/>
    <w:basedOn w:val="TH"/>
    <w:rsid w:val="00F455F0"/>
    <w:pPr>
      <w:keepNext w:val="0"/>
      <w:spacing w:before="0" w:after="240"/>
    </w:pPr>
  </w:style>
  <w:style w:type="paragraph" w:customStyle="1" w:styleId="NO">
    <w:name w:val="NO"/>
    <w:basedOn w:val="Normal"/>
    <w:rsid w:val="00F455F0"/>
    <w:pPr>
      <w:keepLines/>
      <w:ind w:left="1135" w:hanging="851"/>
    </w:pPr>
  </w:style>
  <w:style w:type="paragraph" w:styleId="TOC9">
    <w:name w:val="toc 9"/>
    <w:basedOn w:val="TOC8"/>
    <w:semiHidden/>
    <w:rsid w:val="00F455F0"/>
    <w:pPr>
      <w:ind w:left="1418" w:hanging="1418"/>
    </w:pPr>
  </w:style>
  <w:style w:type="paragraph" w:customStyle="1" w:styleId="EX">
    <w:name w:val="EX"/>
    <w:basedOn w:val="Normal"/>
    <w:rsid w:val="00F455F0"/>
    <w:pPr>
      <w:keepLines/>
      <w:ind w:left="1702" w:hanging="1418"/>
    </w:pPr>
  </w:style>
  <w:style w:type="paragraph" w:customStyle="1" w:styleId="FP">
    <w:name w:val="FP"/>
    <w:basedOn w:val="Normal"/>
    <w:rsid w:val="00F455F0"/>
    <w:pPr>
      <w:spacing w:after="0"/>
    </w:pPr>
  </w:style>
  <w:style w:type="paragraph" w:customStyle="1" w:styleId="LD">
    <w:name w:val="LD"/>
    <w:rsid w:val="00F455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455F0"/>
    <w:pPr>
      <w:spacing w:after="0"/>
    </w:pPr>
  </w:style>
  <w:style w:type="paragraph" w:customStyle="1" w:styleId="EW">
    <w:name w:val="EW"/>
    <w:basedOn w:val="EX"/>
    <w:rsid w:val="00F455F0"/>
    <w:pPr>
      <w:spacing w:after="0"/>
    </w:pPr>
  </w:style>
  <w:style w:type="paragraph" w:styleId="TOC6">
    <w:name w:val="toc 6"/>
    <w:basedOn w:val="TOC5"/>
    <w:next w:val="Normal"/>
    <w:semiHidden/>
    <w:rsid w:val="00F455F0"/>
    <w:pPr>
      <w:ind w:left="1985" w:hanging="1985"/>
    </w:pPr>
  </w:style>
  <w:style w:type="paragraph" w:styleId="TOC7">
    <w:name w:val="toc 7"/>
    <w:basedOn w:val="TOC6"/>
    <w:next w:val="Normal"/>
    <w:semiHidden/>
    <w:rsid w:val="00F455F0"/>
    <w:pPr>
      <w:ind w:left="2268" w:hanging="2268"/>
    </w:pPr>
  </w:style>
  <w:style w:type="paragraph" w:styleId="ListBullet2">
    <w:name w:val="List Bullet 2"/>
    <w:basedOn w:val="ListBullet"/>
    <w:semiHidden/>
    <w:rsid w:val="00F455F0"/>
    <w:pPr>
      <w:ind w:left="851"/>
    </w:pPr>
  </w:style>
  <w:style w:type="paragraph" w:styleId="ListBullet3">
    <w:name w:val="List Bullet 3"/>
    <w:basedOn w:val="ListBullet2"/>
    <w:semiHidden/>
    <w:rsid w:val="00F455F0"/>
    <w:pPr>
      <w:ind w:left="1135"/>
    </w:pPr>
  </w:style>
  <w:style w:type="paragraph" w:styleId="ListNumber">
    <w:name w:val="List Number"/>
    <w:basedOn w:val="List"/>
    <w:semiHidden/>
    <w:rsid w:val="00F455F0"/>
  </w:style>
  <w:style w:type="paragraph" w:customStyle="1" w:styleId="EQ">
    <w:name w:val="EQ"/>
    <w:basedOn w:val="Normal"/>
    <w:next w:val="Normal"/>
    <w:rsid w:val="00F455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55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5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455F0"/>
    <w:pPr>
      <w:jc w:val="right"/>
    </w:pPr>
  </w:style>
  <w:style w:type="paragraph" w:customStyle="1" w:styleId="H6">
    <w:name w:val="H6"/>
    <w:basedOn w:val="Heading5"/>
    <w:next w:val="Normal"/>
    <w:rsid w:val="00F455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5F0"/>
    <w:pPr>
      <w:ind w:left="851" w:hanging="851"/>
    </w:pPr>
  </w:style>
  <w:style w:type="paragraph" w:customStyle="1" w:styleId="TAL">
    <w:name w:val="TAL"/>
    <w:basedOn w:val="Normal"/>
    <w:rsid w:val="00F455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55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455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455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455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455F0"/>
    <w:pPr>
      <w:framePr w:wrap="notBeside" w:y="16161"/>
    </w:pPr>
  </w:style>
  <w:style w:type="character" w:customStyle="1" w:styleId="ZGSM">
    <w:name w:val="ZGSM"/>
    <w:rsid w:val="00F455F0"/>
  </w:style>
  <w:style w:type="paragraph" w:styleId="List2">
    <w:name w:val="List 2"/>
    <w:basedOn w:val="List"/>
    <w:semiHidden/>
    <w:rsid w:val="00F455F0"/>
    <w:pPr>
      <w:ind w:left="851"/>
    </w:pPr>
  </w:style>
  <w:style w:type="paragraph" w:customStyle="1" w:styleId="ZG">
    <w:name w:val="ZG"/>
    <w:rsid w:val="00F455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455F0"/>
    <w:pPr>
      <w:ind w:left="1135"/>
    </w:pPr>
  </w:style>
  <w:style w:type="paragraph" w:styleId="List4">
    <w:name w:val="List 4"/>
    <w:basedOn w:val="List3"/>
    <w:semiHidden/>
    <w:rsid w:val="00F455F0"/>
    <w:pPr>
      <w:ind w:left="1418"/>
    </w:pPr>
  </w:style>
  <w:style w:type="paragraph" w:styleId="List5">
    <w:name w:val="List 5"/>
    <w:basedOn w:val="List4"/>
    <w:semiHidden/>
    <w:rsid w:val="00F455F0"/>
    <w:pPr>
      <w:ind w:left="1702"/>
    </w:pPr>
  </w:style>
  <w:style w:type="paragraph" w:customStyle="1" w:styleId="EditorsNote">
    <w:name w:val="Editor's Note"/>
    <w:basedOn w:val="NO"/>
    <w:rsid w:val="00F455F0"/>
    <w:rPr>
      <w:color w:val="FF0000"/>
    </w:rPr>
  </w:style>
  <w:style w:type="paragraph" w:styleId="List">
    <w:name w:val="List"/>
    <w:basedOn w:val="Normal"/>
    <w:semiHidden/>
    <w:rsid w:val="00F455F0"/>
    <w:pPr>
      <w:ind w:left="568" w:hanging="284"/>
    </w:pPr>
  </w:style>
  <w:style w:type="paragraph" w:styleId="ListBullet">
    <w:name w:val="List Bullet"/>
    <w:basedOn w:val="List"/>
    <w:semiHidden/>
    <w:rsid w:val="00F455F0"/>
  </w:style>
  <w:style w:type="paragraph" w:styleId="ListBullet4">
    <w:name w:val="List Bullet 4"/>
    <w:basedOn w:val="ListBullet3"/>
    <w:semiHidden/>
    <w:rsid w:val="00F455F0"/>
    <w:pPr>
      <w:ind w:left="1418"/>
    </w:pPr>
  </w:style>
  <w:style w:type="paragraph" w:styleId="ListBullet5">
    <w:name w:val="List Bullet 5"/>
    <w:basedOn w:val="ListBullet4"/>
    <w:semiHidden/>
    <w:rsid w:val="00F455F0"/>
    <w:pPr>
      <w:ind w:left="1702"/>
    </w:pPr>
  </w:style>
  <w:style w:type="paragraph" w:customStyle="1" w:styleId="B1">
    <w:name w:val="B1"/>
    <w:basedOn w:val="List"/>
    <w:rsid w:val="00F455F0"/>
  </w:style>
  <w:style w:type="paragraph" w:customStyle="1" w:styleId="B2">
    <w:name w:val="B2"/>
    <w:basedOn w:val="List2"/>
    <w:rsid w:val="00F455F0"/>
  </w:style>
  <w:style w:type="paragraph" w:customStyle="1" w:styleId="B3">
    <w:name w:val="B3"/>
    <w:basedOn w:val="List3"/>
    <w:rsid w:val="00F455F0"/>
  </w:style>
  <w:style w:type="paragraph" w:customStyle="1" w:styleId="B4">
    <w:name w:val="B4"/>
    <w:basedOn w:val="List4"/>
    <w:rsid w:val="00F455F0"/>
  </w:style>
  <w:style w:type="paragraph" w:customStyle="1" w:styleId="B5">
    <w:name w:val="B5"/>
    <w:basedOn w:val="List5"/>
    <w:rsid w:val="00F455F0"/>
  </w:style>
  <w:style w:type="paragraph" w:styleId="Footer">
    <w:name w:val="footer"/>
    <w:basedOn w:val="Header"/>
    <w:semiHidden/>
    <w:rsid w:val="00F455F0"/>
    <w:pPr>
      <w:jc w:val="center"/>
    </w:pPr>
    <w:rPr>
      <w:i/>
    </w:rPr>
  </w:style>
  <w:style w:type="paragraph" w:customStyle="1" w:styleId="ZTD">
    <w:name w:val="ZTD"/>
    <w:basedOn w:val="ZB"/>
    <w:rsid w:val="00F455F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9549C"/>
    <w:pPr>
      <w:spacing w:after="200"/>
      <w:jc w:val="center"/>
    </w:pPr>
    <w:rPr>
      <w:i/>
      <w:iCs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E5C7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5C7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E5C7B"/>
    <w:rPr>
      <w:vertAlign w:val="superscript"/>
    </w:rPr>
  </w:style>
  <w:style w:type="table" w:styleId="TableGrid">
    <w:name w:val="Table Grid"/>
    <w:basedOn w:val="TableNormal"/>
    <w:uiPriority w:val="59"/>
    <w:rsid w:val="00C22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4.emf"/><Relationship Id="rId10" Type="http://schemas.openxmlformats.org/officeDocument/2006/relationships/image" Target="media/image3.pn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9545A-E09D-4A70-8C97-8AD88131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1452</Words>
  <Characters>8475</Characters>
  <Application>Microsoft Office Word</Application>
  <DocSecurity>4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2</cp:revision>
  <cp:lastPrinted>1899-12-31T22:00:00Z</cp:lastPrinted>
  <dcterms:created xsi:type="dcterms:W3CDTF">2018-04-06T11:12:00Z</dcterms:created>
  <dcterms:modified xsi:type="dcterms:W3CDTF">2018-04-06T11:12:00Z</dcterms:modified>
</cp:coreProperties>
</file>